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ParentName </w:instrText>
      </w:r>
      <w:r w:rsidRPr="00AB746B">
        <w:rPr>
          <w:rFonts w:eastAsia="Times New Roman" w:cstheme="minorHAnsi"/>
          <w:b/>
          <w:bCs/>
          <w:sz w:val="36"/>
          <w:szCs w:val="28"/>
        </w:rPr>
        <w:fldChar w:fldCharType="separate"/>
      </w:r>
      <w:r w:rsidR="00703223">
        <w:rPr>
          <w:rFonts w:eastAsia="Times New Roman" w:cstheme="minorHAnsi"/>
          <w:b/>
          <w:bCs/>
          <w:noProof/>
          <w:sz w:val="36"/>
          <w:szCs w:val="28"/>
        </w:rPr>
        <w:instrText>«ParentName»</w:instrText>
      </w:r>
      <w:r w:rsidRPr="00AB746B">
        <w:rPr>
          <w:rFonts w:eastAsia="Times New Roman" w:cstheme="minorHAnsi"/>
          <w:b/>
          <w:bCs/>
          <w:sz w:val="36"/>
          <w:szCs w:val="28"/>
        </w:rPr>
        <w:fldChar w:fldCharType="end"/>
      </w:r>
    </w:p>
    <w:p w:rsidR="00703223"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MERGEFIELD EventName </w:instrText>
      </w:r>
      <w:r w:rsidRPr="00AB746B">
        <w:rPr>
          <w:rFonts w:eastAsia="Times New Roman" w:cstheme="minorHAnsi"/>
          <w:b/>
          <w:bCs/>
          <w:sz w:val="28"/>
        </w:rPr>
        <w:fldChar w:fldCharType="separate"/>
      </w:r>
      <w:r>
        <w:rPr>
          <w:rFonts w:eastAsia="Times New Roman" w:cstheme="minorHAnsi"/>
          <w:b/>
          <w:bCs/>
          <w:noProof/>
          <w:sz w:val="28"/>
        </w:rPr>
        <w:instrText>«EventName»</w:instrText>
      </w:r>
      <w:r w:rsidRPr="00AB746B">
        <w:rPr>
          <w:rFonts w:eastAsia="Times New Roman" w:cstheme="minorHAnsi"/>
          <w:b/>
          <w:bCs/>
          <w:sz w:val="28"/>
        </w:rPr>
        <w:fldChar w:fldCharType="end"/>
      </w:r>
      <w:r w:rsidRPr="00AB746B">
        <w:rPr>
          <w:rFonts w:eastAsia="Times New Roman" w:cstheme="minorHAnsi"/>
          <w:b/>
          <w:bCs/>
          <w:sz w:val="28"/>
        </w:rPr>
        <w:instrText>" "</w:instrText>
      </w:r>
      <w:r w:rsidRPr="00AB746B">
        <w:rPr>
          <w:rFonts w:eastAsia="Times New Roman" w:cstheme="minorHAnsi"/>
          <w:b/>
          <w:bCs/>
          <w:sz w:val="36"/>
          <w:szCs w:val="28"/>
        </w:rPr>
        <w:instrText>2024 ACI Oncology Symposium</w:instrText>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2024 ACI Oncology Symposium</w:t>
      </w:r>
      <w:r w:rsidRPr="00AB746B" w:rsidR="000E5EF0">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10/04/2024 at 08:00 AM</w:t>
      </w:r>
      <w:r w:rsidRPr="00AB746B">
        <w:rPr>
          <w:rFonts w:cstheme="minorHAnsi"/>
          <w:sz w:val="24"/>
          <w:szCs w:val="24"/>
        </w:rPr>
        <w:t xml:space="preserve"> to </w:t>
      </w:r>
      <w:r w:rsidRPr="00AB746B">
        <w:rPr>
          <w:rFonts w:cstheme="minorHAnsi"/>
          <w:sz w:val="24"/>
          <w:szCs w:val="24"/>
        </w:rPr>
        <w:t>10/04/2024 at 04:30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The Avera Cancer Institute Oncology Symposium is designed to enhance collaboration between the provider and the multidisciplinary team in caring for individuals with cancer across the continuum of care.</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1 Define tools and resources needed to manage the oncology patient in their practice setting.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2 Identify evidence-based practice changes for oncology care and the impact on their day to day role.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3 Recognize opportunities to apply gained knowledge in the application of patient education.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4 Describe how multidisciplinary roles interconnect and collaborate to provide care to the oncology patient population.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5 Identify the benefits of journaling and self-reflection and how to incorporate these techniques into their daily self-care</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Social Worker, Pharmacist, Nurse -LPN/LVN</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Live Activity</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703223"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703223">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703223"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6.25</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6.25</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628249257"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6.25</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6.25</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6.25</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6.25</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6.25</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6.25</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6.25</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6.25</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instrText>6.25</w:instrText>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b/>
          <w:bCs/>
          <w:sz w:val="20"/>
          <w:szCs w:val="20"/>
        </w:rPr>
        <w:t>Pharmacy CE:</w:t>
      </w:r>
      <w:r w:rsidRPr="00AB746B" w:rsidR="00636E2B">
        <w:rPr>
          <w:rFonts w:eastAsia="Gulim" w:cstheme="minorHAnsi"/>
          <w:sz w:val="20"/>
          <w:szCs w:val="20"/>
        </w:rPr>
        <w:t xml:space="preserve"> Avera designates this activity for </w:t>
      </w:r>
      <w:r w:rsidRPr="00AB746B" w:rsidR="00636E2B">
        <w:rPr>
          <w:rFonts w:eastAsia="Gulim" w:cstheme="minorHAnsi"/>
          <w:sz w:val="20"/>
          <w:szCs w:val="20"/>
        </w:rPr>
        <w:t>6.25</w:t>
      </w:r>
      <w:r w:rsidRPr="00AB746B" w:rsidR="00636E2B">
        <w:rPr>
          <w:rFonts w:eastAsia="Gulim" w:cstheme="minorHAnsi"/>
          <w:sz w:val="20"/>
          <w:szCs w:val="20"/>
        </w:rPr>
        <w: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t>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6.25</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6.25</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6.25</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instrText>6.25</w:instrText>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instrText>6.25</w:instrText>
      </w:r>
      <w:r w:rsidRPr="00AB746B">
        <w:rPr>
          <w:rFonts w:eastAsia="Gulim" w:cstheme="minorHAnsi"/>
          <w:sz w:val="20"/>
          <w:szCs w:val="20"/>
        </w:rPr>
        <w:instrText xml:space="preserve"> General</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1206551637"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220DC6">
        <w:rPr>
          <w:rFonts w:eastAsia="Gulim" w:cstheme="minorHAnsi"/>
          <w:sz w:val="20"/>
          <w:szCs w:val="20"/>
        </w:rPr>
        <w:t>6.25</w:t>
      </w:r>
      <w:r w:rsidRPr="00AB746B" w:rsidR="00937F25">
        <w:rPr>
          <w:rFonts w:eastAsia="Gulim" w:cstheme="minorHAnsi"/>
          <w:sz w:val="20"/>
          <w:szCs w:val="20"/>
        </w:rPr>
        <w:t xml:space="preserve"> General</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NFacHoursMax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MN EMS:</w:instrText>
      </w:r>
      <w:r w:rsidRPr="00AB746B">
        <w:rPr>
          <w:rFonts w:eastAsia="Gulim" w:cstheme="minorHAnsi"/>
          <w:sz w:val="20"/>
          <w:szCs w:val="20"/>
        </w:rPr>
        <w:instrText xml:space="preserve"> This education qualifies as Continuing Education, LCCR, or ICCR in the State of Minnesota.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EMSMNMax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sheena.lewis@avera.org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Live Activity</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sidR="00274BAF">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sidR="00274BAF">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r w:rsidRPr="00AB746B">
        <w:rPr>
          <w:rFonts w:cstheme="minorHAnsi"/>
          <w:sz w:val="20"/>
          <w:szCs w:val="20"/>
        </w:rPr>
        <w:fldChar w:fldCharType="begin"/>
      </w:r>
      <w:r w:rsidRPr="00AB746B">
        <w:rPr>
          <w:rFonts w:cstheme="minorHAnsi"/>
          <w:sz w:val="20"/>
          <w:szCs w:val="20"/>
        </w:rPr>
        <w:instrText xml:space="preserve"> IF </w:instrText>
      </w:r>
      <w:r w:rsidRPr="00AB746B">
        <w:rPr>
          <w:rFonts w:cstheme="minorHAnsi"/>
          <w:sz w:val="20"/>
          <w:szCs w:val="20"/>
        </w:rPr>
        <w:instrText>"</w:instrText>
      </w:r>
      <w:r w:rsidRPr="00AB746B">
        <w:rPr>
          <w:rFonts w:cstheme="minorHAnsi"/>
          <w:sz w:val="20"/>
          <w:szCs w:val="20"/>
        </w:rPr>
        <w:instrText>"</w:instrText>
      </w:r>
      <w:r w:rsidRPr="00AB746B">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This course content was reviewed on XX/XX/XXXX</w:t>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Vonda Reed, A.S. Accounting, Education Consultant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Lola Twedt, BS, OCN BMTCN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Sheena Lewis,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Melanie Miller, BSN,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Arens, MSW,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Rockafellow, RTRT, Radiation Therapist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SCHULTZ, ASRT, Radiology Quality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Barnes, LCSW-PIP, QMHP,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Evie Weingartz, A.S., Medical Assistant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Ingalls, SPHR, SHRM-SCP, Human Resouces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J Moriarty, CNP, Nurse Practitioner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KARRIE GARRY, RN - C,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6334 LaPorte, PharmD, Pharmacist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Van Beek, RT(R)(T),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Cari L Price,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Styles, PharmD, Pharmacist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Rojas,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Zinnel, BS, Admin Assistant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Mitchell,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Gregoire,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Spanos,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Fee-Regeneron (Relationship has ended)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Lie Dinah Sandy Ligasaputri,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Ally Higgins,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Meyer, LCSW,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Irvine, LCSW-PIP,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Xavier Andrade-Gonzalez,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Holly Hoffman, CSP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4</cp:revision>
  <dcterms:created xsi:type="dcterms:W3CDTF">2023-08-02T13:56:00Z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