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2024 Avera Compassion Connection</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instrText>2024 Avera Compassion Connection</w:instrText>
      </w:r>
    </w:p>
    <w:p w:rsidR="00703223"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instrText>2024 Avera Compassion Connection - 7/15/2024</w:instrText>
      </w:r>
      <w:r w:rsidRPr="00AB746B">
        <w:rPr>
          <w:rFonts w:eastAsia="Times New Roman" w:cstheme="minorHAnsi"/>
          <w:b/>
          <w:bCs/>
          <w:sz w:val="28"/>
        </w:rPr>
        <w:instrText>"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EventName </w:instrText>
      </w:r>
      <w:r w:rsidRPr="00AB746B">
        <w:rPr>
          <w:rFonts w:eastAsia="Times New Roman" w:cstheme="minorHAnsi"/>
          <w:b/>
          <w:bCs/>
          <w:sz w:val="36"/>
          <w:szCs w:val="28"/>
        </w:rPr>
        <w:fldChar w:fldCharType="separate"/>
      </w:r>
      <w:r w:rsidRPr="00AB746B">
        <w:rPr>
          <w:rFonts w:eastAsia="Times New Roman" w:cstheme="minorHAnsi"/>
          <w:b/>
          <w:bCs/>
          <w:sz w:val="36"/>
          <w:szCs w:val="28"/>
        </w:rPr>
        <w:fldChar w:fldCharType="end"/>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2024 Avera Compassion Connection</w:t>
      </w:r>
    </w:p>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t>2024 Avera Compassion Connection - 7/15/2024</w:t>
      </w:r>
      <w:r w:rsidRPr="00AB746B">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07/15/2024 at 12:00 PM</w:t>
      </w:r>
      <w:r w:rsidRPr="00AB746B">
        <w:rPr>
          <w:rFonts w:cstheme="minorHAnsi"/>
          <w:sz w:val="24"/>
          <w:szCs w:val="24"/>
        </w:rPr>
        <w:t xml:space="preserve"> to </w:t>
      </w:r>
      <w:r w:rsidRPr="00AB746B">
        <w:rPr>
          <w:rFonts w:cstheme="minorHAnsi"/>
          <w:sz w:val="24"/>
          <w:szCs w:val="24"/>
        </w:rPr>
        <w:t>07/15/2024 at 01:00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This multidisciplinary forum is designed to address social and emotional topics healthcare providers are facing to encourage mutual support, collegiality, and shared experiences of compassionate care that allow us to promote personal well-being resulting in better care of our patients and better care of our health system.</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Discuss the impact that people and events have had on my career in healthcare.</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2 Improve the delivery of care by engaging clinical professionals to share how they create an exceptional experience when caring for our patients and their families.</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Social Worker</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Live Activity</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703223"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703223">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703223"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1.00</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1840480650"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1.00</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1.00</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1.00</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0.00</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fldChar w:fldCharType="begin"/>
      </w:r>
      <w:r w:rsidRPr="00AB746B" w:rsidR="00636E2B">
        <w:rPr>
          <w:rFonts w:eastAsia="Gulim" w:cstheme="minorHAnsi"/>
          <w:sz w:val="20"/>
          <w:szCs w:val="20"/>
        </w:rPr>
        <w:instrText xml:space="preserve"> MERGEFIELD ACPEHoursMax \# 0.00# </w:instrText>
      </w:r>
      <w:r w:rsidRPr="00AB746B" w:rsidR="00636E2B">
        <w:rPr>
          <w:rFonts w:eastAsia="Gulim" w:cstheme="minorHAnsi"/>
          <w:sz w:val="20"/>
          <w:szCs w:val="20"/>
        </w:rPr>
        <w:fldChar w:fldCharType="separate"/>
      </w:r>
      <w:r w:rsidRPr="00AB746B" w:rsidR="00636E2B">
        <w:rPr>
          <w:rFonts w:eastAsia="Gulim" w:cstheme="minorHAnsi"/>
          <w:sz w:val="20"/>
          <w:szCs w:val="20"/>
        </w:rPr>
        <w:fldChar w:fldCharType="end"/>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1.00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1.00</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instrText>1.00</w:instrText>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instrText>1.00</w:instrText>
      </w:r>
      <w:r w:rsidRPr="00AB746B">
        <w:rPr>
          <w:rFonts w:eastAsia="Gulim" w:cstheme="minorHAnsi"/>
          <w:sz w:val="20"/>
          <w:szCs w:val="20"/>
        </w:rPr>
        <w:instrText xml:space="preserve"> General</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352200646"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220DC6">
        <w:rPr>
          <w:rFonts w:eastAsia="Gulim" w:cstheme="minorHAnsi"/>
          <w:sz w:val="20"/>
          <w:szCs w:val="20"/>
        </w:rPr>
        <w:t>1.00</w:t>
      </w:r>
      <w:r w:rsidRPr="00AB746B" w:rsidR="00937F25">
        <w:rPr>
          <w:rFonts w:eastAsia="Gulim" w:cstheme="minorHAnsi"/>
          <w:sz w:val="20"/>
          <w:szCs w:val="20"/>
        </w:rPr>
        <w:t xml:space="preserve"> General</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instrText>1.00</w:instrText>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Nursing Facility Administrator:</w:t>
      </w:r>
      <w:r w:rsidRPr="00AB746B">
        <w:rPr>
          <w:rFonts w:eastAsia="Gulim" w:cstheme="minorHAnsi"/>
          <w:sz w:val="20"/>
          <w:szCs w:val="20"/>
        </w:rPr>
        <w:t xml:space="preserve"> Avera is an approved provider of continuing education for South Dakota through the South Dakota Board of Nursing Facility Administrators. This educational activity is approved for </w:t>
      </w:r>
      <w:r w:rsidRPr="00AB746B">
        <w:rPr>
          <w:rFonts w:eastAsia="Gulim" w:cstheme="minorHAnsi"/>
          <w:sz w:val="20"/>
          <w:szCs w:val="20"/>
        </w:rPr>
        <w:t>1.00</w:t>
      </w:r>
      <w:r w:rsidRPr="00AB746B">
        <w:rPr>
          <w:rFonts w:eastAsia="Gulim" w:cstheme="minorHAnsi"/>
          <w:sz w:val="20"/>
          <w:szCs w:val="20"/>
        </w:rPr>
        <w:t xml:space="preserve"> hour(s) for nursing facility administrators.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IF </w:instrText>
      </w:r>
      <w:r w:rsidRPr="00AB746B" w:rsidR="00A92CA2">
        <w:rPr>
          <w:rFonts w:eastAsia="Gulim" w:cstheme="minorHAnsi"/>
          <w:sz w:val="20"/>
          <w:szCs w:val="20"/>
        </w:rPr>
        <w:instrText>0.00</w:instrText>
      </w:r>
      <w:r w:rsidRPr="00AB746B" w:rsidR="00A92CA2">
        <w:rPr>
          <w:rFonts w:eastAsia="Gulim" w:cstheme="minorHAnsi"/>
          <w:sz w:val="20"/>
          <w:szCs w:val="20"/>
        </w:rPr>
        <w:instrText xml:space="preserve"> &gt; 0 "</w:instrText>
      </w:r>
      <w:r w:rsidRPr="00AB746B" w:rsidR="00A92CA2">
        <w:rPr>
          <w:rFonts w:eastAsia="Gulim" w:cstheme="minorHAnsi"/>
          <w:b/>
          <w:bCs/>
          <w:sz w:val="20"/>
          <w:szCs w:val="20"/>
        </w:rPr>
        <w:instrText>MN EMS:</w:instrText>
      </w:r>
      <w:r w:rsidRPr="00AB746B" w:rsidR="00A92CA2">
        <w:rPr>
          <w:rFonts w:eastAsia="Gulim" w:cstheme="minorHAnsi"/>
          <w:sz w:val="20"/>
          <w:szCs w:val="20"/>
        </w:rPr>
        <w:instrText xml:space="preserve"> This education qualifies as Continuing Education, LCCR, or ICCR in the State of Minnesota. EMTs will receive </w:instrText>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MERGEFIELD EMSMNMax \# 0.00# </w:instrText>
      </w:r>
      <w:r w:rsidRPr="00AB746B" w:rsidR="00A92CA2">
        <w:rPr>
          <w:rFonts w:eastAsia="Gulim" w:cstheme="minorHAnsi"/>
          <w:sz w:val="20"/>
          <w:szCs w:val="20"/>
        </w:rPr>
        <w:fldChar w:fldCharType="separate"/>
      </w:r>
      <w:r w:rsidRPr="00AB746B" w:rsidR="00A92CA2">
        <w:rPr>
          <w:rFonts w:eastAsia="Gulim" w:cstheme="minorHAnsi"/>
          <w:sz w:val="20"/>
          <w:szCs w:val="20"/>
        </w:rPr>
        <w:fldChar w:fldCharType="end"/>
      </w:r>
      <w:r w:rsidRPr="00AB746B" w:rsidR="00A92CA2">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Meredith.Halgerson@avera.org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Live Activity</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sidR="00274BAF">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sidR="00274BAF">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r w:rsidRPr="00AB746B">
        <w:rPr>
          <w:rFonts w:cstheme="minorHAnsi"/>
          <w:sz w:val="20"/>
          <w:szCs w:val="20"/>
        </w:rPr>
        <w:fldChar w:fldCharType="begin"/>
      </w:r>
      <w:r w:rsidRPr="00AB746B">
        <w:rPr>
          <w:rFonts w:cstheme="minorHAnsi"/>
          <w:sz w:val="20"/>
          <w:szCs w:val="20"/>
        </w:rPr>
        <w:instrText xml:space="preserve"> IF </w:instrText>
      </w:r>
      <w:r w:rsidRPr="00AB746B">
        <w:rPr>
          <w:rFonts w:cstheme="minorHAnsi"/>
          <w:sz w:val="20"/>
          <w:szCs w:val="20"/>
        </w:rPr>
        <w:instrText>"</w:instrText>
      </w:r>
      <w:r w:rsidRPr="00AB746B">
        <w:rPr>
          <w:rFonts w:cstheme="minorHAnsi"/>
          <w:sz w:val="20"/>
          <w:szCs w:val="20"/>
        </w:rPr>
        <w:instrText>2024 Avera Compassion Connection</w:instrText>
      </w:r>
      <w:r w:rsidRPr="00AB746B">
        <w:rPr>
          <w:rFonts w:cstheme="minorHAnsi"/>
          <w:sz w:val="20"/>
          <w:szCs w:val="20"/>
        </w:rPr>
        <w:instrText>"</w:instrText>
      </w:r>
      <w:r w:rsidRPr="00AB746B">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Alisa Reindl,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Marla Dziedzic,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Carla Borchardt, DNP, RN, NE-BC,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Candace Nelson, SW,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ROBYN EWALT,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Tamera Sturm,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E Kunkel,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Maryam Sheikh,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Halgerson, MSN,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Hill,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4</cp:revision>
  <dcterms:created xsi:type="dcterms:W3CDTF">2023-08-02T13:56:00Z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