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7C2A" w:rsidP="00A825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5" type="#_x0000_t202" style="height:721.65pt;margin-left:-17.8pt;margin-top:-3.55pt;mso-height-percent:0;mso-height-relative:margin;mso-wrap-distance-bottom:0;mso-wrap-distance-left:9pt;mso-wrap-distance-right:9pt;mso-wrap-distance-top:0;mso-wrap-style:square;position:absolute;v-text-anchor:top;visibility:visible;width:593.4pt;z-index:251661312" fillcolor="white" stroked="f" strokeweight="0.5pt">
            <v:textbox>
              <w:txbxContent>
                <w:p w:rsidR="00420A1B" w:rsidRPr="00664710" w:rsidP="00420A1B">
                  <w:pPr>
                    <w:pStyle w:val="NormalWeb"/>
                    <w:spacing w:before="0" w:beforeAutospacing="0" w:after="240" w:afterAutospacing="0"/>
                    <w:jc w:val="center"/>
                    <w:rPr>
                      <w:rFonts w:asciiTheme="minorHAnsi" w:hAnsiTheme="minorHAnsi" w:cstheme="minorHAnsi"/>
                      <w:sz w:val="40"/>
                      <w:szCs w:val="22"/>
                    </w:rPr>
                  </w:pPr>
                  <w:r w:rsidRPr="00664710">
                    <w:rPr>
                      <w:rFonts w:asciiTheme="minorHAnsi" w:hAnsiTheme="minorHAnsi" w:cstheme="minorHAnsi"/>
                      <w:noProof/>
                      <w:sz w:val="40"/>
                      <w:szCs w:val="22"/>
                    </w:rPr>
                    <w:t>Avera Sports</w:t>
                  </w:r>
                  <w:r w:rsidRPr="00664710">
                    <w:rPr>
                      <w:rFonts w:asciiTheme="minorHAnsi" w:hAnsiTheme="minorHAnsi" w:cstheme="minorHAnsi"/>
                      <w:sz w:val="40"/>
                      <w:szCs w:val="22"/>
                    </w:rPr>
                    <w:t xml:space="preserve"> Medicine Educational Updates 2021 - June 23 2021--Nutrition for the Injured Athlete presented by Anna Heronimus (Jun 23 2021)</w:t>
                  </w:r>
                </w:p>
                <w:p w:rsidR="00420A1B" w:rsidRPr="00664710" w:rsidP="00420A1B">
                  <w:pPr>
                    <w:pStyle w:val="NormalWeb"/>
                    <w:spacing w:before="0" w:beforeAutospacing="0" w:after="24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2"/>
                    </w:rPr>
                  </w:pPr>
                  <w:r w:rsidRPr="00664710">
                    <w:rPr>
                      <w:rFonts w:asciiTheme="minorHAnsi" w:hAnsiTheme="minorHAnsi" w:cstheme="minorHAnsi"/>
                      <w:sz w:val="28"/>
                      <w:szCs w:val="22"/>
                    </w:rPr>
                    <w:t>Speaker</w:t>
                  </w:r>
                  <w:r w:rsidRPr="00664710" w:rsidR="00F6350D">
                    <w:rPr>
                      <w:rFonts w:asciiTheme="minorHAnsi" w:hAnsiTheme="minorHAnsi" w:cstheme="minorHAnsi"/>
                      <w:sz w:val="28"/>
                      <w:szCs w:val="22"/>
                    </w:rPr>
                    <w:t>(s)</w:t>
                  </w:r>
                  <w:r w:rsidRPr="00664710">
                    <w:rPr>
                      <w:rFonts w:asciiTheme="minorHAnsi" w:hAnsiTheme="minorHAnsi" w:cstheme="minorHAnsi"/>
                      <w:sz w:val="28"/>
                      <w:szCs w:val="22"/>
                    </w:rPr>
                    <w:t>:</w:t>
                  </w:r>
                  <w:r w:rsidRPr="00664710" w:rsidR="0046362D">
                    <w:rPr>
                      <w:rFonts w:asciiTheme="minorHAnsi" w:hAnsiTheme="minorHAnsi" w:cstheme="minorHAnsi"/>
                      <w:sz w:val="28"/>
                      <w:szCs w:val="22"/>
                    </w:rPr>
                    <w:t xml:space="preserve"> </w:t>
                  </w:r>
                </w:p>
                <w:p w:rsidR="00420A1B" w:rsidRPr="00664710" w:rsidP="00DA08F4">
                  <w:pPr>
                    <w:pStyle w:val="NormalWeb"/>
                    <w:spacing w:after="240"/>
                    <w:jc w:val="center"/>
                    <w:rPr>
                      <w:rFonts w:asciiTheme="minorHAnsi" w:hAnsiTheme="minorHAnsi" w:cstheme="minorHAnsi"/>
                      <w:sz w:val="28"/>
                      <w:szCs w:val="22"/>
                    </w:rPr>
                  </w:pPr>
                  <w:r w:rsidRPr="00664710">
                    <w:rPr>
                      <w:rFonts w:asciiTheme="minorHAnsi" w:hAnsiTheme="minorHAnsi" w:cstheme="minorHAnsi"/>
                      <w:noProof/>
                      <w:sz w:val="28"/>
                      <w:szCs w:val="22"/>
                    </w:rPr>
                    <w:t>6/23</w:t>
                  </w:r>
                  <w:r w:rsidRPr="00664710">
                    <w:rPr>
                      <w:rFonts w:asciiTheme="minorHAnsi" w:hAnsiTheme="minorHAnsi" w:cstheme="minorHAnsi"/>
                      <w:sz w:val="28"/>
                      <w:szCs w:val="22"/>
                    </w:rPr>
                    <w:t>/2021 12:00:00 PM</w:t>
                  </w:r>
                  <w:r w:rsidRPr="00664710" w:rsidR="00DA08F4">
                    <w:rPr>
                      <w:rFonts w:asciiTheme="minorHAnsi" w:hAnsiTheme="minorHAnsi" w:cstheme="minorHAnsi"/>
                      <w:sz w:val="28"/>
                      <w:szCs w:val="22"/>
                    </w:rPr>
                    <w:t xml:space="preserve"> to </w:t>
                  </w:r>
                  <w:r w:rsidRPr="00664710">
                    <w:rPr>
                      <w:rFonts w:asciiTheme="minorHAnsi" w:hAnsiTheme="minorHAnsi" w:cstheme="minorHAnsi"/>
                      <w:noProof/>
                      <w:sz w:val="28"/>
                      <w:szCs w:val="22"/>
                    </w:rPr>
                    <w:t>6/23</w:t>
                  </w:r>
                  <w:r w:rsidRPr="00664710">
                    <w:rPr>
                      <w:rFonts w:asciiTheme="minorHAnsi" w:hAnsiTheme="minorHAnsi" w:cstheme="minorHAnsi"/>
                      <w:sz w:val="28"/>
                      <w:szCs w:val="22"/>
                    </w:rPr>
                    <w:t>/2021 1:00:00 PM</w:t>
                  </w:r>
                  <w:r w:rsidRPr="00664710" w:rsidR="00DA08F4">
                    <w:rPr>
                      <w:rFonts w:asciiTheme="minorHAnsi" w:hAnsiTheme="minorHAnsi" w:cstheme="minorHAnsi"/>
                      <w:sz w:val="28"/>
                      <w:szCs w:val="22"/>
                    </w:rPr>
                    <w:t xml:space="preserve"> -- </w:t>
                  </w:r>
                  <w:r w:rsidRPr="00664710">
                    <w:rPr>
                      <w:rFonts w:asciiTheme="minorHAnsi" w:hAnsiTheme="minorHAnsi" w:cstheme="minorHAnsi"/>
                      <w:noProof/>
                      <w:sz w:val="28"/>
                      <w:szCs w:val="22"/>
                    </w:rPr>
                    <w:t>Virtual (</w:t>
                  </w:r>
                  <w:r w:rsidRPr="00664710">
                    <w:rPr>
                      <w:rFonts w:asciiTheme="minorHAnsi" w:hAnsiTheme="minorHAnsi" w:cstheme="minorHAnsi"/>
                      <w:sz w:val="28"/>
                      <w:szCs w:val="22"/>
                    </w:rPr>
                    <w:t>WebEx or Zoom)</w:t>
                  </w:r>
                </w:p>
                <w:p w:rsidR="00420A1B" w:rsidRPr="00664710" w:rsidP="00420A1B">
                  <w:pPr>
                    <w:pStyle w:val="NormalWeb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Purpose:</w:t>
                  </w:r>
                  <w:r w:rsidRPr="0066471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6647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tl w:val="0"/>
                    </w:rPr>
                    <w:t>This series is designed to provide evidence based monthly educational opportunities to sports medicine health care professionals.</w: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Objectives:</w:t>
                  </w:r>
                  <w:r w:rsidRPr="0066471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664710" w:rsidR="00A8252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br/>
                  </w:r>
                  <w:r w:rsidRPr="00664710" w:rsidR="00A82529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1 Define</w:t>
                  </w:r>
                  <w:r w:rsidRPr="00664710" w:rsidR="00A8252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the role of the health care provider within the multidisciplinary sports medicine team as it relates to the educational topic.</w:t>
                  </w:r>
                </w:p>
                <w:p w:rsidR="00A82529" w:rsidRPr="00664710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Recognize the specific nutrient needs pertaining to optimal healing of an injured athlete.</w:t>
                  </w:r>
                </w:p>
                <w:p w:rsidR="00A82529" w:rsidRPr="00664710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Understand the current research regarding dietary interventions for athletic injuries including trauma, soft tissue, and concussion/TBI.</w: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710" w:rsidR="00A8252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Recognize and relate the role of sports RD within the sports medicine team when considering appropriate nutrition related interventions for the prevention and/or treatment of various athletic injuries.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"</w:instrTex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1 Define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the role of the health care provider within the multidisciplinary sports medicine team as it relates to the educational topic.</w:instrTex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 Recognize the specific nutrient needs pertaining to optimal healing of an injured athlete.</w:instrTex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2 Understand the current research regarding dietary interventions for athletic injuries including trauma, soft tissue, and concussion/TBI.</w:instrTex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3 Recognize and relate the role of sports RD within the sports medicine team when considering appropriate nutrition related interventions for the prevention and/or treatment of various athletic injuries.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= "" 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MERGEFIELD ANCCObjectives \* MERGEFORMAT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«ANCCObjectives»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"</w:instrTex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"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"</w:instrTex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1 Define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the role of the health care provider within the multidisciplinary sports medicine team as it relates to the educational topic.</w:instrText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 Recognize the specific nutrient needs pertaining to optimal healing of an injured athlete.</w:instrText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2 Understand the current research regarding dietary interventions for athletic injuries including trauma, soft tissue, and concussion/TBI.</w:instrText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3 Recognize and relate the role of sports RD within the sports medicine team when considering appropriate nutrition related interventions for the prevention and/or treatment of various athletic injuries.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= "" 0 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+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= "" 0 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0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0  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MERGEFIELD PharmObjectives \* MERGEFORMAT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«PharmObjectives»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"</w:instrText>
                  </w:r>
                </w:p>
                <w:p w:rsidR="00642FFF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"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"</w:instrTex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1 Define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the role of the health care provider within the multidisciplinary sports medicine team as it relates to the educational topic.</w:instrText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 Recognize the specific nutrient needs pertaining to optimal healing of an injured athlete.</w:instrText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2 Understand the current research regarding dietary interventions for athletic injuries including trauma, soft tissue, and concussion/TBI.</w:instrText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3 Recognize and relate the role of sports RD within the sports medicine team when considering appropriate nutrition related interventions for the prevention and/or treatment of various athletic injuries.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= "" 0 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+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= "" 0 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0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+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= "" 0 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0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0  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MERGEFIELD PharmTechObjectives \* MERGEFORMAT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«PharmTechObjectives»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"</w:instrText>
                  </w:r>
                </w:p>
                <w:p w:rsidR="00A82529" w:rsidRPr="00664710"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"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</w:p>
                <w:p w:rsidP="00D12C5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E53D22" w:rsidRPr="00E53D22" w:rsidP="00A82529">
                  <w:pPr>
                    <w:pStyle w:val="NormalWeb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Outcome:</w:t>
                  </w:r>
                </w:p>
                <w:p w:rsidR="00A82529" w:rsidRPr="00664710" w:rsidP="00A82529">
                  <w:pPr>
                    <w:pStyle w:val="NormalWeb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Target Audience:</w:t>
                  </w:r>
                  <w:r w:rsidRPr="0066471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66471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 xml:space="preserve">Physician, </w:t>
                  </w:r>
                  <w:r w:rsidRPr="0066471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Nurse, Athletic Trainer</w:t>
                  </w:r>
                </w:p>
                <w:p w:rsidR="00A82529" w:rsidRPr="00664710" w:rsidP="0093650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6471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For successful completion:</w:t>
                  </w:r>
                </w:p>
                <w:p w:rsidR="00A82529" w:rsidRPr="00664710" w:rsidP="0093650B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To record attendance and obtain CE credit, you must have an Avera CE Portal Profile. </w:t>
                  </w:r>
                  <w:r>
                    <w:fldChar w:fldCharType="begin"/>
                  </w:r>
                  <w:r>
                    <w:instrText xml:space="preserve"> HYPERLINK "https://avera.cloud-cme.com/default.aspx" </w:instrText>
                  </w:r>
                  <w:r>
                    <w:fldChar w:fldCharType="separate"/>
                  </w:r>
                  <w:r w:rsidRPr="00664710" w:rsidR="00755DF4"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t>For directions, click here.</w:t>
                  </w:r>
                  <w:r>
                    <w:fldChar w:fldCharType="end"/>
                  </w:r>
                </w:p>
                <w:p w:rsidR="00A82529" w:rsidRPr="00664710" w:rsidP="0093650B">
                  <w:pPr>
                    <w:pStyle w:val="NormalWeb"/>
                    <w:numPr>
                      <w:ilvl w:val="0"/>
                      <w:numId w:val="3"/>
                    </w:numPr>
                    <w:spacing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You must bring your mobile phone: Attendance will be recorded via text message.</w:t>
                  </w:r>
                </w:p>
                <w:p w:rsidR="00420A1B" w:rsidRPr="00664710" w:rsidP="0093650B">
                  <w:pPr>
                    <w:pStyle w:val="NormalWeb"/>
                    <w:numPr>
                      <w:ilvl w:val="0"/>
                      <w:numId w:val="3"/>
                    </w:numPr>
                    <w:spacing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7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 receive a CE certificate, you must log in to your Avera CE Portal Profile after the educational activity and complete the evaluation.</w:t>
                  </w:r>
                  <w:r w:rsidRPr="00664710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  <w:p w:rsidR="00420A1B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Avera is accredited by the Accreditation Council for Continuing Medical Education</w:t>
                  </w:r>
                  <w:r w:rsidR="00B97B59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to provide continuing education for physicians. Avera designates this educational activity for a maximum of </w:t>
                  </w:r>
                  <w:r w:rsidRPr="00664710" w:rsidR="004C07B2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1.00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AMA PRA Category 1 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Credit</w:t>
                  </w:r>
                  <w:r w:rsidRPr="00B97B59" w:rsidR="00B97B59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  <w:vertAlign w:val="superscript"/>
                    </w:rPr>
                    <w:t>TM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per session. Physicians should only claim credit commensurate with the extent of their participation in the activity. </w:t>
                  </w:r>
                </w:p>
                <w:p w:rsidR="00664710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664710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This activity has been planned and implemented in accordance with the accreditation requirements and policies of the Accreditation Council for Continuing Medical Education (ACCME) through the joint 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>providership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 of Avera and 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. Avera is accredited by the ACCME to provide continuing medical education for physicians. Avera designates this educational activity for a maximum of </w:t>
                  </w:r>
                  <w:r w:rsidRPr="00664710">
                    <w:rPr>
                      <w:rFonts w:eastAsiaTheme="minorEastAsia" w:cstheme="minorHAnsi"/>
                      <w:i/>
                      <w:noProof/>
                      <w:color w:val="FF0000"/>
                      <w:kern w:val="24"/>
                      <w:sz w:val="20"/>
                      <w:szCs w:val="20"/>
                    </w:rPr>
                    <w:t>1.00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 AMA PRA Category 1 Credits(s)</w:t>
                  </w:r>
                  <w:r w:rsidRPr="00B97B59" w:rsidR="00B97B59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  <w:vertAlign w:val="superscript"/>
                    </w:rPr>
                    <w:t>TM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>. Physicians should claim only the credit commensurate with the extent of their participation in the activity education.</w:t>
                  </w:r>
                </w:p>
                <w:p w:rsidR="00420A1B" w:rsidRPr="00664710" w:rsidP="00420A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  <w:p w:rsidR="0046362D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Avera is accredited as a provider of nursing continuing professional development by the American Nurses Credentialing Center's Commission on Accreditation.</w:t>
                  </w:r>
                  <w:r w:rsidRPr="00664710" w:rsidR="00420A1B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A total </w:t>
                  </w:r>
                  <w:r w:rsidRPr="00664710" w:rsidR="0047381C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1.00</w:t>
                  </w:r>
                  <w:r w:rsidRPr="00664710" w:rsidR="00420A1B">
                    <w:rPr>
                      <w:rFonts w:eastAsiaTheme="minorEastAsia" w:cstheme="minorHAnsi"/>
                      <w:color w:val="FF0000"/>
                      <w:kern w:val="24"/>
                      <w:sz w:val="20"/>
                      <w:szCs w:val="20"/>
                    </w:rPr>
                    <w:t xml:space="preserve"> </w:t>
                  </w:r>
                  <w:r w:rsidRPr="00664710" w:rsidR="00420A1B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contact hours can be received upon completion of this activity. </w:t>
                  </w:r>
                </w:p>
                <w:p w:rsidR="00664710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664710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This activity has been planned and implemented in accordance with the accreditation requirements and through the joint 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>providership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 of Avera and 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. Avera is accredited as a provider of nursing continuing professional development by the American Nurses Credentialing Center's Commission on Accreditation.  A total of </w:t>
                  </w:r>
                  <w:r w:rsidRPr="00664710">
                    <w:rPr>
                      <w:rFonts w:eastAsiaTheme="minorEastAsia" w:cstheme="minorHAnsi"/>
                      <w:i/>
                      <w:noProof/>
                      <w:color w:val="FF0000"/>
                      <w:kern w:val="24"/>
                      <w:sz w:val="20"/>
                      <w:szCs w:val="20"/>
                    </w:rPr>
                    <w:t>1.00</w:t>
                  </w:r>
                  <w:r w:rsidRPr="00664710">
                    <w:rPr>
                      <w:rFonts w:eastAsiaTheme="minorEastAsia" w:cstheme="minorHAnsi"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 xml:space="preserve"> contact hours can be received upon completion of this education activity. Attendance at the entire educational activity is required to receive contact hours.</w:t>
                  </w:r>
                </w:p>
                <w:p w:rsidR="00C22440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C22440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Avera Health Provider #1029 is an approved provider of continuing education by the South Dakota Board of Social Work Examiners.  Social Workers will receive</w:t>
                  </w:r>
                  <w:r w:rsidRPr="00664710" w:rsidR="0047381C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Pr="00664710" w:rsidR="0047381C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1.00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 continuing education clock hours for participating in this course</w:t>
                  </w:r>
                  <w:r w:rsidRPr="00664710" w:rsidR="00A82529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.</w:t>
                  </w:r>
                </w:p>
                <w:p w:rsidR="00A82529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A82529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Avera is an approved provider of continuing education for South Dakota through the South Dakota Board of Nursing Facility Administrators. This educational activity is approved for </w:t>
                  </w:r>
                  <w:r w:rsidRPr="00664710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1.00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hours for nursing facility administrators.</w:t>
                  </w:r>
                </w:p>
                <w:p w:rsidR="00420A1B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664710" w:rsidRPr="00664710" w:rsidP="00664710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  <w:u w:val="single"/>
                    </w:rPr>
                    <w:t>Policy on Disclosure: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Pr="00664710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Due to the regulations required for CE credits all conflict of interest that persons in a position to control or influence the education must be fully disclosed to participants.  In observance to this requirement we are providing the following disclosure information: all relevant financial relationships disclosed below have been mitigated.</w:t>
                  </w:r>
                </w:p>
                <w:p w:rsidR="003D7B64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left"/>
                    <w:tblCellSpacing w:w="15" w:type="dxa"/>
                    <w:tblInd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3447"/>
                    <w:gridCol w:w="3447"/>
                    <w:gridCol w:w="4596"/>
                  </w:tblGrid>
                  <w:tr>
                    <w:tblPrEx>
                      <w:tblW w:w="5000" w:type="pct"/>
                      <w:jc w:val="left"/>
                      <w:tblCellSpacing w:w="15" w:type="dxa"/>
                      <w:tblInd w:w="0" w:type="dxa"/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left"/>
                    </w:trPr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b/>
                            <w:rtl w:val="0"/>
                          </w:rPr>
                          <w:t>Name of individual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b/>
                            <w:rtl w:val="0"/>
                          </w:rPr>
                          <w:t>Individual's role in activity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5F5F5"/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b/>
                            <w:rtl w:val="0"/>
                          </w:rPr>
                          <w:t>Name of commercial interest/Nature of relationship</w:t>
                        </w:r>
                      </w:p>
                    </w:tc>
                  </w:tr>
                  <w:tr>
                    <w:tblPrEx>
                      <w:tblW w:w="5000" w:type="pct"/>
                      <w:jc w:val="left"/>
                      <w:tblCellSpacing w:w="15" w:type="dxa"/>
                      <w:tblInd w:w="0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left"/>
                    </w:trPr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Anna Heronimus, RD</w:t>
                        </w:r>
                      </w:p>
                    </w:tc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Faculty</w:t>
                        </w:r>
                      </w:p>
                    </w:tc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Nothing to disclose - 02/04/2021</w:t>
                        </w:r>
                      </w:p>
                    </w:tc>
                  </w:tr>
                  <w:tr>
                    <w:tblPrEx>
                      <w:tblW w:w="5000" w:type="pct"/>
                      <w:jc w:val="left"/>
                      <w:tblCellSpacing w:w="15" w:type="dxa"/>
                      <w:tblInd w:w="0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left"/>
                    </w:trPr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Dustin Gebur, MSEd, ATC</w:t>
                        </w:r>
                      </w:p>
                    </w:tc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Lead Planner</w:t>
                        </w:r>
                      </w:p>
                    </w:tc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Nothing to disclose - 01/12/2021</w:t>
                        </w:r>
                      </w:p>
                    </w:tc>
                  </w:tr>
                  <w:tr>
                    <w:tblPrEx>
                      <w:tblW w:w="5000" w:type="pct"/>
                      <w:jc w:val="left"/>
                      <w:tblCellSpacing w:w="15" w:type="dxa"/>
                      <w:tblInd w:w="0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left"/>
                    </w:trPr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Katherine J Cedeño Torres, BSN</w:t>
                        </w:r>
                      </w:p>
                    </w:tc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Nurse Planner</w:t>
                        </w:r>
                      </w:p>
                    </w:tc>
                    <w:tc>
                      <w:tcPr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>
                        <w:pPr>
                          <w:bidi w:val="0"/>
                          <w:spacing w:after="0" w:afterAutospacing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</w:rPr>
                          <w:t>Nothing to disclose - 03/22/2021</w:t>
                        </w:r>
                      </w:p>
                    </w:tc>
                  </w:tr>
                </w:tbl>
                <w:p w:rsidR="00CC59A2" w:rsidRPr="00664710">
                  <w:pPr>
                    <w:bidi w:val="0"/>
                    <w:spacing w:after="280" w:afterAutospacing="1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3D7B64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3D7B64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420A1B" w:rsidRPr="00664710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</w:rPr>
                  </w:pPr>
                </w:p>
                <w:p w:rsidR="00420A1B" w:rsidRPr="00E2306B" w:rsidP="00420A1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  <w:p w:rsidR="00420A1B" w:rsidRPr="00E2306B" w:rsidP="00420A1B">
                  <w:pPr>
                    <w:rPr>
                      <w:rFonts w:ascii="Arial" w:hAnsi="Arial" w:cs="Arial"/>
                    </w:rPr>
                  </w:pPr>
                </w:p>
                <w:p w:rsidR="005D7C2A" w:rsidRPr="005D7C2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-353355</wp:posOffset>
                </wp:positionV>
                <wp:extent cx="7840345" cy="223284"/>
                <wp:effectExtent l="0" t="0" r="825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0345" cy="2232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height:17.6pt;margin-left:-32.85pt;margin-top:-27.8pt;mso-height-percent:0;mso-height-relative:margin;mso-wrap-distance-bottom:0;mso-wrap-distance-left:9pt;mso-wrap-distance-right:9pt;mso-wrap-distance-top:0;mso-wrap-style:square;position:absolute;v-text-anchor:middle;visibility:visible;width:617.35pt;z-index:251660288" fillcolor="#f4b083" stroked="f" strokeweight="1pt"/>
            </w:pict>
          </mc:Fallback>
        </mc:AlternateContent>
      </w:r>
    </w:p>
    <w:p w:rsidR="004D5FE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8771255</wp:posOffset>
            </wp:positionV>
            <wp:extent cx="1124458" cy="419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58" cy="4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5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2494915</wp:posOffset>
            </wp:positionH>
            <wp:positionV relativeFrom="margin">
              <wp:posOffset>9116060</wp:posOffset>
            </wp:positionV>
            <wp:extent cx="386715" cy="3587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Sect="005D7C2A">
      <w:pgSz w:w="12240" w:h="15840"/>
      <w:pgMar w:top="54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69364E"/>
    <w:multiLevelType w:val="hybridMultilevel"/>
    <w:tmpl w:val="F984C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578"/>
    <w:multiLevelType w:val="hybridMultilevel"/>
    <w:tmpl w:val="9622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545F"/>
    <w:multiLevelType w:val="hybridMultilevel"/>
    <w:tmpl w:val="163A14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C2A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Plucker</dc:creator>
  <cp:lastModifiedBy>James Saylor</cp:lastModifiedBy>
  <cp:revision>3</cp:revision>
  <dcterms:created xsi:type="dcterms:W3CDTF">2021-05-10T18:08:00Z</dcterms:created>
  <dcterms:modified xsi:type="dcterms:W3CDTF">2021-05-10T18:38:00Z</dcterms:modified>
</cp:coreProperties>
</file>