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D7C2A">
      <w:r>
        <w:rPr>
          <w:noProof/>
        </w:rPr>
        <w:pict>
          <v:shapetype id="_x0000_t202" coordsize="21600,21600" o:spt="202" path="m,l,21600r21600,l21600,xe">
            <v:stroke joinstyle="miter"/>
            <v:path gradientshapeok="t" o:connecttype="rect"/>
          </v:shapetype>
          <v:shape id="Text Box 4" o:spid="_x0000_s1025" type="#_x0000_t202" style="height:651.3pt;margin-left:-19.55pt;margin-top:10.25pt;mso-wrap-distance-bottom:0;mso-wrap-distance-left:9pt;mso-wrap-distance-right:9pt;mso-wrap-distance-top:0;mso-wrap-style:square;position:absolute;v-text-anchor:top;visibility:visible;width:593.4pt;z-index:251661312" fillcolor="white" stroked="f" strokeweight="0.5pt">
            <v:textbox>
              <w:txbxContent>
                <w:p w:rsidR="00420A1B" w:rsidRPr="00E2306B" w:rsidP="00420A1B">
                  <w:pPr>
                    <w:pStyle w:val="NormalWeb"/>
                    <w:spacing w:before="0" w:beforeAutospacing="0" w:after="240" w:afterAutospacing="0"/>
                    <w:jc w:val="center"/>
                    <w:rPr>
                      <w:rFonts w:ascii="Arial" w:hAnsi="Arial" w:cs="Arial"/>
                      <w:sz w:val="40"/>
                      <w:szCs w:val="22"/>
                    </w:rPr>
                  </w:pPr>
                  <w:r w:rsidRPr="00E2306B">
                    <w:rPr>
                      <w:rFonts w:ascii="Arial" w:hAnsi="Arial" w:cs="Arial"/>
                      <w:noProof/>
                      <w:sz w:val="40"/>
                      <w:szCs w:val="22"/>
                    </w:rPr>
                    <w:t>Part 2</w:t>
                  </w:r>
                  <w:r w:rsidRPr="00E2306B">
                    <w:rPr>
                      <w:rFonts w:ascii="Arial" w:hAnsi="Arial" w:cs="Arial"/>
                      <w:sz w:val="40"/>
                      <w:szCs w:val="22"/>
                    </w:rPr>
                    <w:t xml:space="preserve"> Respiratory Care During COVID 19 (Enduring Material)</w:t>
                  </w:r>
                </w:p>
                <w:p w:rsidR="00420A1B" w:rsidRPr="00E2306B" w:rsidP="00420A1B">
                  <w:pPr>
                    <w:pStyle w:val="NormalWeb"/>
                    <w:spacing w:before="0" w:beforeAutospacing="0" w:after="240" w:afterAutospacing="0"/>
                    <w:jc w:val="center"/>
                    <w:rPr>
                      <w:rFonts w:ascii="Arial" w:hAnsi="Arial" w:cs="Arial"/>
                      <w:sz w:val="28"/>
                      <w:szCs w:val="22"/>
                    </w:rPr>
                  </w:pPr>
                  <w:r w:rsidRPr="00E2306B">
                    <w:rPr>
                      <w:rFonts w:ascii="Arial" w:hAnsi="Arial" w:cs="Arial"/>
                      <w:sz w:val="28"/>
                      <w:szCs w:val="22"/>
                    </w:rPr>
                    <w:t xml:space="preserve">Speaker:  </w:t>
                  </w:r>
                </w:p>
                <w:p w:rsidR="00420A1B" w:rsidRPr="00E2306B" w:rsidP="00DA08F4">
                  <w:pPr>
                    <w:pStyle w:val="NormalWeb"/>
                    <w:spacing w:after="240"/>
                    <w:jc w:val="center"/>
                    <w:rPr>
                      <w:rFonts w:ascii="Arial" w:hAnsi="Arial" w:cs="Arial"/>
                      <w:sz w:val="28"/>
                      <w:szCs w:val="22"/>
                    </w:rPr>
                  </w:pPr>
                  <w:r>
                    <w:rPr>
                      <w:rFonts w:ascii="Arial" w:hAnsi="Arial" w:cs="Arial"/>
                      <w:noProof/>
                      <w:sz w:val="28"/>
                      <w:szCs w:val="22"/>
                    </w:rPr>
                    <w:t>11/20</w:t>
                  </w:r>
                  <w:r>
                    <w:rPr>
                      <w:rFonts w:ascii="Arial" w:hAnsi="Arial" w:cs="Arial"/>
                      <w:sz w:val="28"/>
                      <w:szCs w:val="22"/>
                    </w:rPr>
                    <w:t>/2020 12:00:00 PM</w:t>
                  </w:r>
                  <w:r w:rsidR="00DA08F4">
                    <w:rPr>
                      <w:rFonts w:ascii="Arial" w:hAnsi="Arial" w:cs="Arial"/>
                      <w:sz w:val="28"/>
                      <w:szCs w:val="22"/>
                    </w:rPr>
                    <w:t xml:space="preserve"> to </w:t>
                  </w:r>
                  <w:r>
                    <w:rPr>
                      <w:rFonts w:ascii="Arial" w:hAnsi="Arial" w:cs="Arial"/>
                      <w:noProof/>
                      <w:sz w:val="28"/>
                      <w:szCs w:val="22"/>
                    </w:rPr>
                    <w:t>11/20</w:t>
                  </w:r>
                  <w:r>
                    <w:rPr>
                      <w:rFonts w:ascii="Arial" w:hAnsi="Arial" w:cs="Arial"/>
                      <w:sz w:val="28"/>
                      <w:szCs w:val="22"/>
                    </w:rPr>
                    <w:t>/2020 1:15:00 PM</w:t>
                  </w:r>
                  <w:r w:rsidR="00DA08F4">
                    <w:rPr>
                      <w:rFonts w:ascii="Arial" w:hAnsi="Arial" w:cs="Arial"/>
                      <w:sz w:val="28"/>
                      <w:szCs w:val="22"/>
                    </w:rPr>
                    <w:t xml:space="preserve"> -- </w:t>
                  </w:r>
                  <w:r w:rsidRPr="00E2306B">
                    <w:rPr>
                      <w:rFonts w:ascii="Arial" w:hAnsi="Arial" w:cs="Arial"/>
                      <w:noProof/>
                      <w:sz w:val="28"/>
                      <w:szCs w:val="22"/>
                    </w:rPr>
                    <w:t>Avera CE</w:t>
                  </w:r>
                  <w:r w:rsidRPr="00E2306B">
                    <w:rPr>
                      <w:rFonts w:ascii="Arial" w:hAnsi="Arial" w:cs="Arial"/>
                      <w:sz w:val="28"/>
                      <w:szCs w:val="22"/>
                    </w:rPr>
                    <w:t xml:space="preserve"> Portal</w:t>
                  </w:r>
                </w:p>
                <w:p w:rsidR="00420A1B" w:rsidRPr="00E2306B" w:rsidP="00420A1B">
                  <w:pPr>
                    <w:spacing w:after="0" w:line="240" w:lineRule="auto"/>
                    <w:jc w:val="center"/>
                    <w:rPr>
                      <w:rFonts w:ascii="Arial" w:hAnsi="Arial" w:eastAsiaTheme="minorEastAsia" w:cs="Arial"/>
                    </w:rPr>
                  </w:pPr>
                </w:p>
                <w:p w:rsidR="00420A1B" w:rsidRPr="00E2306B" w:rsidP="00E2306B">
                  <w:pPr>
                    <w:rPr>
                      <w:rFonts w:ascii="Arial" w:hAnsi="Arial" w:cs="Arial"/>
                    </w:rPr>
                  </w:pPr>
                  <w:r w:rsidRPr="00E2306B">
                    <w:rPr>
                      <w:rFonts w:ascii="Arial" w:hAnsi="Arial" w:eastAsiaTheme="minorEastAsia" w:cs="Arial"/>
                      <w:color w:val="FF0000"/>
                      <w:kern w:val="24"/>
                      <w:u w:val="single"/>
                    </w:rPr>
                    <w:t xml:space="preserve">Prior to the education, create an account in the CE Portal if you have not already done so.  </w:t>
                  </w:r>
                  <w:r>
                    <w:fldChar w:fldCharType="begin"/>
                  </w:r>
                  <w:r>
                    <w:instrText xml:space="preserve"> HYPERLINK "https://www.avera.org/app/calendar/event/detail.aspx?eventId=47f6abc4-ab57-e311-af5d-001ec9e06176" </w:instrText>
                  </w:r>
                  <w:r>
                    <w:fldChar w:fldCharType="separate"/>
                  </w:r>
                  <w:r w:rsidRPr="00E2306B">
                    <w:rPr>
                      <w:rFonts w:ascii="Arial" w:hAnsi="Arial" w:eastAsiaTheme="minorEastAsia" w:cs="Arial"/>
                      <w:color w:val="FF0000"/>
                      <w:kern w:val="24"/>
                      <w:u w:val="single"/>
                    </w:rPr>
                    <w:t xml:space="preserve">For directions, click here. </w:t>
                  </w:r>
                  <w:r>
                    <w:fldChar w:fldCharType="end"/>
                  </w:r>
                </w:p>
                <w:p w:rsidR="00420A1B" w:rsidRPr="00E2306B" w:rsidP="00420A1B">
                  <w:pPr>
                    <w:pStyle w:val="NormalWeb"/>
                    <w:rPr>
                      <w:rFonts w:ascii="Arial" w:hAnsi="Arial" w:cs="Arial"/>
                      <w:sz w:val="22"/>
                      <w:szCs w:val="22"/>
                    </w:rPr>
                  </w:pPr>
                  <w:r w:rsidRPr="00E2306B">
                    <w:rPr>
                      <w:rFonts w:ascii="Arial" w:hAnsi="Arial" w:cs="Arial"/>
                      <w:b/>
                      <w:bCs/>
                      <w:sz w:val="22"/>
                      <w:szCs w:val="22"/>
                      <w:u w:val="single"/>
                    </w:rPr>
                    <w:t>Purpose:</w:t>
                  </w:r>
                  <w:r w:rsidRPr="00E2306B">
                    <w:rPr>
                      <w:rFonts w:ascii="Arial" w:hAnsi="Arial" w:cs="Arial"/>
                      <w:bCs/>
                      <w:sz w:val="22"/>
                      <w:szCs w:val="22"/>
                    </w:rPr>
                    <w:t xml:space="preserve"> </w:t>
                  </w:r>
                  <w:r w:rsidRPr="00E2306B">
                    <w:rPr>
                      <w:rFonts w:ascii="Arial" w:hAnsi="Arial" w:cs="Arial"/>
                      <w:sz w:val="22"/>
                      <w:szCs w:val="22"/>
                    </w:rPr>
                    <w:t xml:space="preserve"> </w:t>
                  </w:r>
                  <w:r w:rsidR="00C725E7">
                    <w:rPr>
                      <w:rFonts w:ascii="Arial" w:hAnsi="Arial" w:cs="Arial"/>
                      <w:bCs/>
                      <w:noProof/>
                      <w:sz w:val="22"/>
                      <w:szCs w:val="22"/>
                    </w:rPr>
                    <w:t>Part 2</w:t>
                  </w:r>
                  <w:r w:rsidR="00C725E7">
                    <w:rPr>
                      <w:rFonts w:ascii="Arial" w:hAnsi="Arial" w:cs="Arial"/>
                      <w:bCs/>
                      <w:sz w:val="22"/>
                      <w:szCs w:val="22"/>
                    </w:rPr>
                    <w:t xml:space="preserve"> of Respiratory CARE during COVID 19 Surge : Discuss Rsi and Intubation tips and pearls From Katie DeJong MD eCare and Case Study from Lanny Baker MB Director of Respiratory therapy at Avera</w:t>
                  </w:r>
                </w:p>
                <w:p w:rsidR="00420A1B" w:rsidRPr="00E2306B" w:rsidP="00420A1B">
                  <w:pPr>
                    <w:pStyle w:val="NormalWeb"/>
                    <w:rPr>
                      <w:rFonts w:ascii="Arial" w:hAnsi="Arial" w:cs="Arial"/>
                      <w:sz w:val="22"/>
                      <w:szCs w:val="22"/>
                    </w:rPr>
                  </w:pPr>
                  <w:r w:rsidRPr="00E2306B">
                    <w:rPr>
                      <w:rFonts w:ascii="Arial" w:hAnsi="Arial" w:cs="Arial"/>
                      <w:b/>
                      <w:bCs/>
                      <w:sz w:val="22"/>
                      <w:szCs w:val="22"/>
                      <w:u w:val="single"/>
                    </w:rPr>
                    <w:t>Objectives:</w:t>
                  </w:r>
                  <w:r w:rsidRPr="00E2306B">
                    <w:rPr>
                      <w:rFonts w:ascii="Arial" w:hAnsi="Arial" w:cs="Arial"/>
                      <w:bCs/>
                      <w:sz w:val="22"/>
                      <w:szCs w:val="22"/>
                    </w:rPr>
                    <w:t xml:space="preserve"> </w:t>
                  </w:r>
                  <w:r w:rsidRPr="00E2306B">
                    <w:rPr>
                      <w:rFonts w:ascii="Arial" w:hAnsi="Arial" w:cs="Arial"/>
                      <w:bCs/>
                      <w:noProof/>
                      <w:sz w:val="22"/>
                      <w:szCs w:val="22"/>
                    </w:rPr>
                    <w:t>1 The</w:t>
                  </w:r>
                  <w:r w:rsidRPr="00E2306B">
                    <w:rPr>
                      <w:rFonts w:ascii="Arial" w:hAnsi="Arial" w:cs="Arial"/>
                      <w:bCs/>
                      <w:sz w:val="22"/>
                      <w:szCs w:val="22"/>
                    </w:rPr>
                    <w:t xml:space="preserve"> learner will be able to describe who needs Rapid Sequence Intubation, the steps and the procedure</w:t>
                  </w:r>
                </w:p>
                <w:p w:rsidRPr="00E2306B" w:rsidP="00420A1B">
                  <w:pPr>
                    <w:pStyle w:val="NormalWeb"/>
                    <w:rPr>
                      <w:rFonts w:ascii="Arial" w:hAnsi="Arial" w:cs="Arial"/>
                      <w:bCs/>
                      <w:sz w:val="22"/>
                      <w:szCs w:val="22"/>
                    </w:rPr>
                  </w:pPr>
                  <w:r w:rsidRPr="00E2306B">
                    <w:rPr>
                      <w:rFonts w:ascii="Arial" w:hAnsi="Arial" w:cs="Arial"/>
                      <w:bCs/>
                      <w:sz w:val="22"/>
                      <w:szCs w:val="22"/>
                    </w:rPr>
                    <w:t>2 Describe the technique of intubation for COVID 19.</w:t>
                  </w:r>
                </w:p>
                <w:p w:rsidR="00420A1B" w:rsidRPr="00E2306B" w:rsidP="00420A1B">
                  <w:pPr>
                    <w:pStyle w:val="NormalWeb"/>
                    <w:rPr>
                      <w:rFonts w:ascii="Arial" w:hAnsi="Arial" w:cs="Arial"/>
                      <w:sz w:val="22"/>
                      <w:szCs w:val="22"/>
                    </w:rPr>
                  </w:pPr>
                  <w:r w:rsidRPr="00E2306B">
                    <w:rPr>
                      <w:rFonts w:ascii="Arial" w:hAnsi="Arial" w:cs="Arial"/>
                      <w:bCs/>
                      <w:sz w:val="22"/>
                      <w:szCs w:val="22"/>
                    </w:rPr>
                    <w:t>3 Case study Hi Flow to Intubation to Discharge</w:t>
                  </w:r>
                </w:p>
                <w:p w:rsidR="00420A1B" w:rsidRPr="00E2306B" w:rsidP="00420A1B">
                  <w:pPr>
                    <w:pStyle w:val="NormalWeb"/>
                    <w:rPr>
                      <w:rFonts w:ascii="Arial" w:hAnsi="Arial" w:cs="Arial"/>
                      <w:sz w:val="22"/>
                      <w:szCs w:val="22"/>
                    </w:rPr>
                  </w:pPr>
                  <w:r w:rsidRPr="00E2306B">
                    <w:rPr>
                      <w:rFonts w:ascii="Arial" w:hAnsi="Arial" w:cs="Arial"/>
                      <w:b/>
                      <w:bCs/>
                      <w:sz w:val="22"/>
                      <w:szCs w:val="22"/>
                      <w:u w:val="single"/>
                    </w:rPr>
                    <w:t>Target Audience:</w:t>
                  </w:r>
                  <w:r w:rsidRPr="00E2306B">
                    <w:rPr>
                      <w:rFonts w:ascii="Arial" w:hAnsi="Arial" w:cs="Arial"/>
                      <w:bCs/>
                      <w:sz w:val="22"/>
                      <w:szCs w:val="22"/>
                    </w:rPr>
                    <w:t xml:space="preserve"> </w:t>
                  </w:r>
                  <w:r w:rsidRPr="00E2306B">
                    <w:rPr>
                      <w:rFonts w:ascii="Arial" w:hAnsi="Arial" w:cs="Arial"/>
                      <w:bCs/>
                      <w:noProof/>
                      <w:sz w:val="22"/>
                      <w:szCs w:val="22"/>
                    </w:rPr>
                    <w:t>Emergency Medicine</w:t>
                  </w:r>
                  <w:r w:rsidRPr="00E2306B">
                    <w:rPr>
                      <w:rFonts w:ascii="Arial" w:hAnsi="Arial" w:cs="Arial"/>
                      <w:bCs/>
                      <w:sz w:val="22"/>
                      <w:szCs w:val="22"/>
                    </w:rPr>
                    <w:t>, Family Medicine, Healthcare Administration , Internal Medicine, Critical Care</w:t>
                  </w:r>
                </w:p>
                <w:p w:rsidR="00420A1B" w:rsidRPr="00E2306B" w:rsidP="00420A1B">
                  <w:pPr>
                    <w:pStyle w:val="NormalWeb"/>
                    <w:rPr>
                      <w:rFonts w:ascii="Arial" w:hAnsi="Arial" w:cs="Arial"/>
                      <w:sz w:val="22"/>
                      <w:szCs w:val="22"/>
                    </w:rPr>
                  </w:pPr>
                  <w:r w:rsidRPr="00E2306B">
                    <w:rPr>
                      <w:rFonts w:ascii="Arial" w:hAnsi="Arial" w:cs="Arial"/>
                      <w:b/>
                      <w:bCs/>
                      <w:sz w:val="22"/>
                      <w:szCs w:val="22"/>
                      <w:u w:val="single"/>
                    </w:rPr>
                    <w:t>For successful completion:</w:t>
                  </w:r>
                </w:p>
                <w:p w:rsidR="00420A1B" w:rsidRPr="0047381C" w:rsidP="00E2306B">
                  <w:pPr>
                    <w:pStyle w:val="NormalWeb"/>
                    <w:numPr>
                      <w:ilvl w:val="0"/>
                      <w:numId w:val="1"/>
                    </w:numPr>
                    <w:tabs>
                      <w:tab w:val="left" w:pos="630"/>
                    </w:tabs>
                    <w:rPr>
                      <w:rFonts w:ascii="Arial" w:hAnsi="Arial" w:cs="Arial"/>
                      <w:sz w:val="20"/>
                      <w:szCs w:val="22"/>
                    </w:rPr>
                  </w:pPr>
                  <w:r w:rsidRPr="0047381C">
                    <w:rPr>
                      <w:rFonts w:ascii="Arial" w:hAnsi="Arial" w:cs="Arial"/>
                      <w:sz w:val="20"/>
                      <w:szCs w:val="22"/>
                    </w:rPr>
                    <w:t xml:space="preserve">To record attendance and obtain CE credit, you must have an Avera CE Portal Profile. </w:t>
                  </w:r>
                </w:p>
                <w:p w:rsidR="00420A1B" w:rsidRPr="0047381C" w:rsidP="00E2306B">
                  <w:pPr>
                    <w:pStyle w:val="NormalWeb"/>
                    <w:numPr>
                      <w:ilvl w:val="0"/>
                      <w:numId w:val="1"/>
                    </w:numPr>
                    <w:tabs>
                      <w:tab w:val="left" w:pos="630"/>
                    </w:tabs>
                    <w:rPr>
                      <w:rFonts w:ascii="Arial" w:hAnsi="Arial" w:cs="Arial"/>
                      <w:sz w:val="20"/>
                      <w:szCs w:val="22"/>
                    </w:rPr>
                  </w:pPr>
                  <w:r w:rsidRPr="0047381C">
                    <w:rPr>
                      <w:rFonts w:ascii="Arial" w:hAnsi="Arial" w:cs="Arial"/>
                      <w:sz w:val="20"/>
                      <w:szCs w:val="22"/>
                    </w:rPr>
                    <w:t>You must bring your mobile phone: Attendance will be recorded via text message.</w:t>
                  </w:r>
                </w:p>
                <w:p w:rsidR="00420A1B" w:rsidRPr="00E2306B" w:rsidP="00E2306B">
                  <w:pPr>
                    <w:pStyle w:val="NormalWeb"/>
                    <w:numPr>
                      <w:ilvl w:val="0"/>
                      <w:numId w:val="1"/>
                    </w:numPr>
                    <w:tabs>
                      <w:tab w:val="left" w:pos="630"/>
                    </w:tabs>
                    <w:rPr>
                      <w:rFonts w:ascii="Arial" w:hAnsi="Arial" w:cs="Arial"/>
                      <w:sz w:val="22"/>
                      <w:szCs w:val="22"/>
                    </w:rPr>
                  </w:pPr>
                  <w:r w:rsidRPr="0047381C">
                    <w:rPr>
                      <w:rFonts w:ascii="Arial" w:hAnsi="Arial" w:cs="Arial"/>
                      <w:sz w:val="20"/>
                      <w:szCs w:val="22"/>
                    </w:rPr>
                    <w:t>To receive a CE certificate, you must log in to your Avera CE Portal Profile after the educational activity and complete the evaluation</w:t>
                  </w:r>
                  <w:r w:rsidRPr="00E2306B">
                    <w:rPr>
                      <w:rFonts w:ascii="Arial" w:hAnsi="Arial" w:cs="Arial"/>
                      <w:sz w:val="22"/>
                      <w:szCs w:val="22"/>
                    </w:rPr>
                    <w:t>.</w:t>
                  </w:r>
                  <w:r w:rsidRPr="00E2306B">
                    <w:rPr>
                      <w:rFonts w:ascii="Arial" w:hAnsi="Arial" w:cs="Arial"/>
                      <w:sz w:val="22"/>
                      <w:szCs w:val="22"/>
                    </w:rPr>
                    <w:br/>
                  </w:r>
                </w:p>
                <w:p w:rsidR="00420A1B" w:rsidRPr="00C22440" w:rsidP="00420A1B">
                  <w:pPr>
                    <w:spacing w:after="0" w:line="240" w:lineRule="auto"/>
                    <w:rPr>
                      <w:rFonts w:ascii="Arial" w:hAnsi="Arial" w:eastAsiaTheme="minorEastAsia" w:cs="Arial"/>
                      <w:color w:val="000000" w:themeColor="text1"/>
                      <w:kern w:val="24"/>
                      <w:sz w:val="18"/>
                    </w:rPr>
                  </w:pPr>
                  <w:r w:rsidRPr="00C22440">
                    <w:rPr>
                      <w:rFonts w:ascii="Arial" w:hAnsi="Arial" w:eastAsiaTheme="minorEastAsia" w:cs="Arial"/>
                      <w:color w:val="000000" w:themeColor="text1"/>
                      <w:kern w:val="24"/>
                      <w:sz w:val="18"/>
                    </w:rPr>
                    <w:t xml:space="preserve">Avera is accredited by the Accreditation Council for Continuing Medical Education to provide continuing education for physicians. Avera designates this educational activity for a maximum of </w:t>
                  </w:r>
                  <w:r w:rsidR="004C07B2">
                    <w:rPr>
                      <w:rFonts w:ascii="Arial" w:hAnsi="Arial" w:eastAsiaTheme="minorEastAsia" w:cs="Arial"/>
                      <w:noProof/>
                      <w:color w:val="FF0000"/>
                      <w:kern w:val="24"/>
                      <w:sz w:val="18"/>
                      <w:u w:val="single"/>
                    </w:rPr>
                    <w:t>1.25</w:t>
                  </w:r>
                  <w:r w:rsidRPr="00C22440">
                    <w:rPr>
                      <w:rFonts w:ascii="Arial" w:hAnsi="Arial" w:eastAsiaTheme="minorEastAsia" w:cs="Arial"/>
                      <w:color w:val="000000" w:themeColor="text1"/>
                      <w:kern w:val="24"/>
                      <w:sz w:val="18"/>
                    </w:rPr>
                    <w:t xml:space="preserve"> AMA PRA Category 1 Credit per session. Physicians should only claim credit commensurate with the extent of their participation in the activity. </w:t>
                  </w:r>
                </w:p>
                <w:p w:rsidR="00420A1B" w:rsidRPr="00C22440" w:rsidP="00420A1B">
                  <w:pPr>
                    <w:spacing w:after="0" w:line="240" w:lineRule="auto"/>
                    <w:rPr>
                      <w:rFonts w:ascii="Arial" w:eastAsia="Times New Roman" w:hAnsi="Arial" w:cs="Arial"/>
                      <w:sz w:val="18"/>
                    </w:rPr>
                  </w:pPr>
                </w:p>
                <w:p w:rsidR="00420A1B" w:rsidP="00420A1B">
                  <w:pPr>
                    <w:spacing w:after="0" w:line="240" w:lineRule="auto"/>
                    <w:rPr>
                      <w:rFonts w:ascii="Arial" w:hAnsi="Arial" w:eastAsiaTheme="minorEastAsia" w:cs="Arial"/>
                      <w:color w:val="000000" w:themeColor="text1"/>
                      <w:kern w:val="24"/>
                      <w:sz w:val="18"/>
                    </w:rPr>
                  </w:pPr>
                  <w:r w:rsidRPr="00C22440">
                    <w:rPr>
                      <w:rFonts w:ascii="Arial" w:hAnsi="Arial" w:eastAsiaTheme="minorEastAsia" w:cs="Arial"/>
                      <w:color w:val="000000" w:themeColor="text1"/>
                      <w:kern w:val="24"/>
                      <w:sz w:val="18"/>
                    </w:rPr>
                    <w:t xml:space="preserve">Avera is an Approved Provider of continuing nursing education by the Alabama State Nurses Association, an accredited approver by the American Nurses Credentialing Center’s Commission on Accreditation. A total </w:t>
                  </w:r>
                  <w:r w:rsidRPr="0047381C" w:rsidR="0047381C">
                    <w:rPr>
                      <w:rFonts w:ascii="Arial" w:hAnsi="Arial" w:eastAsiaTheme="minorEastAsia" w:cs="Arial"/>
                      <w:noProof/>
                      <w:color w:val="FF0000"/>
                      <w:kern w:val="24"/>
                      <w:sz w:val="18"/>
                    </w:rPr>
                    <w:t>1.25</w:t>
                  </w:r>
                  <w:r w:rsidRPr="00C22440">
                    <w:rPr>
                      <w:rFonts w:ascii="Arial" w:hAnsi="Arial" w:eastAsiaTheme="minorEastAsia" w:cs="Arial"/>
                      <w:color w:val="FF0000"/>
                      <w:kern w:val="24"/>
                      <w:sz w:val="18"/>
                    </w:rPr>
                    <w:t xml:space="preserve"> </w:t>
                  </w:r>
                  <w:r w:rsidRPr="00C22440">
                    <w:rPr>
                      <w:rFonts w:ascii="Arial" w:hAnsi="Arial" w:eastAsiaTheme="minorEastAsia" w:cs="Arial"/>
                      <w:color w:val="000000" w:themeColor="text1"/>
                      <w:kern w:val="24"/>
                      <w:sz w:val="18"/>
                    </w:rPr>
                    <w:t>contact hours can be received upon completion of this activity. Attendance at the entire educational activity is required to receive contact hours.</w:t>
                  </w:r>
                </w:p>
                <w:p w:rsidR="00C22440" w:rsidP="00420A1B">
                  <w:pPr>
                    <w:spacing w:after="0" w:line="240" w:lineRule="auto"/>
                    <w:rPr>
                      <w:rFonts w:ascii="Arial" w:hAnsi="Arial" w:eastAsiaTheme="minorEastAsia" w:cs="Arial"/>
                      <w:color w:val="000000" w:themeColor="text1"/>
                      <w:kern w:val="24"/>
                      <w:sz w:val="18"/>
                    </w:rPr>
                  </w:pPr>
                </w:p>
                <w:p w:rsidR="00C22440" w:rsidRPr="00C22440" w:rsidP="00420A1B">
                  <w:pPr>
                    <w:spacing w:after="0" w:line="240" w:lineRule="auto"/>
                    <w:rPr>
                      <w:rFonts w:ascii="Arial" w:hAnsi="Arial" w:eastAsiaTheme="minorEastAsia" w:cs="Arial"/>
                      <w:color w:val="000000" w:themeColor="text1"/>
                      <w:kern w:val="24"/>
                      <w:sz w:val="18"/>
                    </w:rPr>
                  </w:pPr>
                  <w:r w:rsidRPr="00C22440">
                    <w:rPr>
                      <w:rFonts w:ascii="Arial" w:hAnsi="Arial" w:eastAsiaTheme="minorEastAsia" w:cs="Arial"/>
                      <w:color w:val="000000" w:themeColor="text1"/>
                      <w:kern w:val="24"/>
                      <w:sz w:val="18"/>
                    </w:rPr>
                    <w:t>Avera Health Provider #1029 is an approved provider of continuing education by the South Dakota Board of Social Work Examiners.  Social Workers will receive</w:t>
                  </w:r>
                  <w:r w:rsidR="0047381C">
                    <w:rPr>
                      <w:rFonts w:ascii="Arial" w:hAnsi="Arial" w:eastAsiaTheme="minorEastAsia" w:cs="Arial"/>
                      <w:color w:val="000000" w:themeColor="text1"/>
                      <w:kern w:val="24"/>
                      <w:sz w:val="18"/>
                    </w:rPr>
                    <w:t xml:space="preserve"> </w:t>
                  </w:r>
                  <w:r w:rsidRPr="0047381C" w:rsidR="0047381C">
                    <w:rPr>
                      <w:rFonts w:ascii="Arial" w:hAnsi="Arial" w:eastAsiaTheme="minorEastAsia" w:cs="Arial"/>
                      <w:noProof/>
                      <w:color w:val="FF0000"/>
                      <w:kern w:val="24"/>
                      <w:sz w:val="18"/>
                    </w:rPr>
                    <w:t>1.25</w:t>
                  </w:r>
                  <w:r w:rsidRPr="00C22440">
                    <w:rPr>
                      <w:rFonts w:ascii="Arial" w:hAnsi="Arial" w:eastAsiaTheme="minorEastAsia" w:cs="Arial"/>
                      <w:color w:val="000000" w:themeColor="text1"/>
                      <w:kern w:val="24"/>
                      <w:sz w:val="18"/>
                    </w:rPr>
                    <w:t xml:space="preserve">  continuing education clock hours for participating in this course</w:t>
                  </w:r>
                </w:p>
                <w:p w:rsidR="00420A1B" w:rsidRPr="00C22440" w:rsidP="00420A1B">
                  <w:pPr>
                    <w:spacing w:after="0" w:line="240" w:lineRule="auto"/>
                    <w:rPr>
                      <w:rFonts w:ascii="Arial" w:hAnsi="Arial" w:eastAsiaTheme="minorEastAsia" w:cs="Arial"/>
                      <w:color w:val="000000" w:themeColor="text1"/>
                      <w:kern w:val="24"/>
                      <w:sz w:val="18"/>
                    </w:rPr>
                  </w:pPr>
                </w:p>
                <w:p w:rsidR="00420A1B" w:rsidRPr="00C22440" w:rsidP="00420A1B">
                  <w:pPr>
                    <w:spacing w:after="0" w:line="240" w:lineRule="auto"/>
                    <w:rPr>
                      <w:rFonts w:ascii="Arial" w:hAnsi="Arial" w:eastAsiaTheme="minorEastAsia" w:cs="Arial"/>
                      <w:color w:val="000000" w:themeColor="text1"/>
                      <w:kern w:val="24"/>
                      <w:sz w:val="18"/>
                    </w:rPr>
                  </w:pPr>
                  <w:r w:rsidRPr="00C22440">
                    <w:rPr>
                      <w:rFonts w:ascii="Arial" w:hAnsi="Arial" w:eastAsiaTheme="minorEastAsia" w:cs="Arial"/>
                      <w:color w:val="000000" w:themeColor="text1"/>
                      <w:kern w:val="24"/>
                      <w:sz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 this requirement we are providing the following disclosure information:</w:t>
                  </w:r>
                </w:p>
                <w:p w:rsidR="00420A1B" w:rsidRPr="00C22440" w:rsidP="00420A1B">
                  <w:pPr>
                    <w:spacing w:after="0" w:line="240" w:lineRule="auto"/>
                    <w:rPr>
                      <w:rFonts w:ascii="Arial" w:hAnsi="Arial" w:eastAsiaTheme="minorEastAsia" w:cs="Arial"/>
                      <w:color w:val="000000" w:themeColor="text1"/>
                      <w:kern w:val="24"/>
                      <w:sz w:val="18"/>
                    </w:rPr>
                  </w:pPr>
                </w:p>
                <w:p w:rsidR="00420A1B" w:rsidRPr="00A4377E" w:rsidP="00420A1B">
                  <w:pPr>
                    <w:spacing w:after="0" w:line="240" w:lineRule="auto"/>
                    <w:rPr>
                      <w:rFonts w:ascii="Arial" w:hAnsi="Arial" w:eastAsiaTheme="minorEastAsia" w:cs="Arial"/>
                      <w:color w:val="000000" w:themeColor="text1"/>
                      <w:kern w:val="24"/>
                      <w:sz w:val="18"/>
                    </w:rPr>
                  </w:pPr>
                  <w:r w:rsidRPr="00A4377E">
                    <w:rPr>
                      <w:rFonts w:ascii="Arial" w:hAnsi="Arial" w:eastAsiaTheme="minorEastAsia" w:cs="Arial"/>
                      <w:noProof/>
                      <w:color w:val="000000" w:themeColor="text1"/>
                      <w:kern w:val="24"/>
                      <w:sz w:val="18"/>
                    </w:rPr>
                    <w:t>Lanny  Baker</w:t>
                  </w:r>
                  <w:r w:rsidRPr="00A4377E">
                    <w:rPr>
                      <w:rFonts w:ascii="Arial" w:hAnsi="Arial" w:eastAsiaTheme="minorEastAsia" w:cs="Arial"/>
                      <w:color w:val="000000" w:themeColor="text1"/>
                      <w:kern w:val="24"/>
                      <w:sz w:val="18"/>
                    </w:rPr>
                    <w:t>, MBA: Nothing to disclose</w:t>
                  </w:r>
                </w:p>
                <w:p w:rsidRPr="00A4377E" w:rsidP="00420A1B">
                  <w:pPr>
                    <w:spacing w:after="0" w:line="240" w:lineRule="auto"/>
                    <w:rPr>
                      <w:rFonts w:ascii="Arial" w:hAnsi="Arial" w:eastAsiaTheme="minorEastAsia" w:cs="Arial"/>
                      <w:color w:val="000000" w:themeColor="text1"/>
                      <w:kern w:val="24"/>
                      <w:sz w:val="18"/>
                    </w:rPr>
                  </w:pPr>
                  <w:r w:rsidRPr="00A4377E">
                    <w:rPr>
                      <w:rFonts w:ascii="Arial" w:hAnsi="Arial" w:eastAsiaTheme="minorEastAsia" w:cs="Arial"/>
                      <w:color w:val="000000" w:themeColor="text1"/>
                      <w:kern w:val="24"/>
                      <w:sz w:val="18"/>
                    </w:rPr>
                    <w:t>Katie A. DeJong, DO: Nothing to disclose</w:t>
                  </w:r>
                </w:p>
                <w:p w:rsidR="00420A1B" w:rsidRPr="00A4377E" w:rsidP="00420A1B">
                  <w:pPr>
                    <w:spacing w:after="0" w:line="240" w:lineRule="auto"/>
                    <w:rPr>
                      <w:rFonts w:ascii="Arial" w:hAnsi="Arial" w:eastAsiaTheme="minorEastAsia" w:cs="Arial"/>
                      <w:color w:val="000000" w:themeColor="text1"/>
                      <w:kern w:val="24"/>
                      <w:sz w:val="18"/>
                    </w:rPr>
                  </w:pPr>
                </w:p>
                <w:p w:rsidR="00420A1B" w:rsidRPr="00E2306B" w:rsidP="00420A1B">
                  <w:pPr>
                    <w:spacing w:after="0" w:line="240" w:lineRule="auto"/>
                    <w:rPr>
                      <w:rFonts w:ascii="Arial" w:hAnsi="Arial" w:eastAsiaTheme="minorEastAsia" w:cs="Arial"/>
                      <w:color w:val="000000" w:themeColor="text1"/>
                      <w:kern w:val="24"/>
                    </w:rPr>
                  </w:pPr>
                </w:p>
                <w:p w:rsidR="00420A1B" w:rsidRPr="00E2306B" w:rsidP="00420A1B">
                  <w:pPr>
                    <w:spacing w:after="0" w:line="240" w:lineRule="auto"/>
                    <w:rPr>
                      <w:rFonts w:ascii="Arial" w:eastAsia="Times New Roman" w:hAnsi="Arial" w:cs="Arial"/>
                    </w:rPr>
                  </w:pPr>
                </w:p>
                <w:p w:rsidR="00420A1B" w:rsidRPr="00E2306B" w:rsidP="00420A1B">
                  <w:pPr>
                    <w:rPr>
                      <w:rFonts w:ascii="Arial" w:hAnsi="Arial" w:cs="Arial"/>
                    </w:rPr>
                  </w:pPr>
                  <w:bookmarkStart w:id="0" w:name="_GoBack"/>
                  <w:bookmarkEnd w:id="0"/>
                </w:p>
                <w:p w:rsidR="005D7C2A" w:rsidRPr="005D7C2A">
                  <w:pPr>
                    <w:rPr>
                      <w:rFonts w:ascii="Arial" w:hAnsi="Arial" w:cs="Arial"/>
                    </w:rPr>
                  </w:pPr>
                </w:p>
              </w:txbxContent>
            </v:textbox>
          </v:shape>
        </w:pict>
      </w:r>
      <w:r>
        <w:rPr>
          <w:noProof/>
        </w:rPr>
        <mc:AlternateContent>
          <mc:Choice Requires="wps">
            <w:drawing>
              <wp:anchor distT="0" distB="0" distL="114300" distR="114300" simplePos="0" relativeHeight="251659264" behindDoc="0" locked="0" layoutInCell="1" allowOverlap="1">
                <wp:simplePos x="0" y="0"/>
                <wp:positionH relativeFrom="column">
                  <wp:posOffset>-416319</wp:posOffset>
                </wp:positionH>
                <wp:positionV relativeFrom="paragraph">
                  <wp:posOffset>-413385</wp:posOffset>
                </wp:positionV>
                <wp:extent cx="7840717" cy="441435"/>
                <wp:effectExtent l="0" t="0" r="825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7840717" cy="44143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height:34.75pt;margin-left:-32.8pt;margin-top:-32.55pt;mso-wrap-distance-bottom:0;mso-wrap-distance-left:9pt;mso-wrap-distance-right:9pt;mso-wrap-distance-top:0;mso-wrap-style:square;position:absolute;v-text-anchor:middle;visibility:visible;width:617.4pt;z-index:251660288" fillcolor="#f4b083" stroked="f" strokeweight="1pt"/>
            </w:pict>
          </mc:Fallback>
        </mc:AlternateContent>
      </w:r>
    </w:p>
    <w:p w:rsidR="004D5FEE">
      <w:r>
        <w:rPr>
          <w:noProof/>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1103630" cy="1024255"/>
            <wp:effectExtent l="0" t="0" r="127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4">
                      <a:extLst>
                        <a:ext uri="{28A0092B-C50C-407E-A947-70E740481C1C}">
                          <a14:useLocalDpi xmlns:a14="http://schemas.microsoft.com/office/drawing/2010/main" val="0"/>
                        </a:ext>
                      </a:extLst>
                    </a:blip>
                    <a:srcRect/>
                    <a:stretch>
                      <a:fillRect/>
                    </a:stretch>
                  </pic:blipFill>
                  <pic:spPr bwMode="auto">
                    <a:xfrm>
                      <a:off x="0" y="0"/>
                      <a:ext cx="1103630" cy="1024255"/>
                    </a:xfrm>
                    <a:prstGeom prst="rect">
                      <a:avLst/>
                    </a:prstGeom>
                    <a:noFill/>
                  </pic:spPr>
                </pic:pic>
              </a:graphicData>
            </a:graphic>
          </wp:anchor>
        </w:drawing>
      </w:r>
    </w:p>
    <w:sectPr w:rsidSect="005D7C2A">
      <w:pgSz w:w="12240" w:h="15840"/>
      <w:pgMar w:top="540" w:right="540" w:bottom="45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7C2A"/>
    <w:pPr>
      <w:spacing w:before="100" w:beforeAutospacing="1" w:after="100" w:afterAutospacing="1" w:line="240" w:lineRule="auto"/>
    </w:pPr>
    <w:rPr>
      <w:rFonts w:ascii="Times New Roman" w:hAnsi="Times New Roman"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3</cp:revision>
  <dcterms:created xsi:type="dcterms:W3CDTF">2020-06-25T22:28:00Z</dcterms:created>
  <dcterms:modified xsi:type="dcterms:W3CDTF">2020-06-25T22:30:00Z</dcterms:modified>
</cp:coreProperties>
</file>