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7C2A" w:rsidP="00A825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5" type="#_x0000_t202" style="height:651.3pt;margin-left:-17.6pt;margin-top:15.45pt;mso-wrap-distance-bottom:0;mso-wrap-distance-left:9pt;mso-wrap-distance-right:9pt;mso-wrap-distance-top:0;mso-wrap-style:square;position:absolute;v-text-anchor:top;visibility:visible;width:593.4pt;z-index:251661312" fillcolor="white" stroked="f" strokeweight="0.5pt">
            <v:textbox>
              <w:txbxContent>
                <w:p w:rsidR="00420A1B" w:rsidRPr="00E2306B" w:rsidP="00420A1B">
                  <w:pPr>
                    <w:pStyle w:val="NormalWeb"/>
                    <w:spacing w:before="0" w:beforeAutospacing="0" w:after="240" w:afterAutospacing="0"/>
                    <w:jc w:val="center"/>
                    <w:rPr>
                      <w:rFonts w:ascii="Arial" w:hAnsi="Arial" w:cs="Arial"/>
                      <w:sz w:val="40"/>
                      <w:szCs w:val="22"/>
                    </w:rPr>
                  </w:pPr>
                  <w:r w:rsidRPr="00E2306B">
                    <w:rPr>
                      <w:rFonts w:ascii="Arial" w:hAnsi="Arial" w:cs="Arial"/>
                      <w:noProof/>
                      <w:sz w:val="40"/>
                      <w:szCs w:val="22"/>
                    </w:rPr>
                    <w:t>Cardiac STABLE</w:t>
                  </w:r>
                </w:p>
                <w:p w:rsidR="00420A1B" w:rsidRPr="00E2306B" w:rsidP="00420A1B">
                  <w:pPr>
                    <w:pStyle w:val="NormalWeb"/>
                    <w:spacing w:before="0" w:beforeAutospacing="0" w:after="240" w:afterAutospacing="0"/>
                    <w:jc w:val="center"/>
                    <w:rPr>
                      <w:rFonts w:ascii="Arial" w:hAnsi="Arial" w:cs="Arial"/>
                      <w:sz w:val="28"/>
                      <w:szCs w:val="22"/>
                    </w:rPr>
                  </w:pPr>
                  <w:r w:rsidRPr="00E2306B">
                    <w:rPr>
                      <w:rFonts w:ascii="Arial" w:hAnsi="Arial" w:cs="Arial"/>
                      <w:sz w:val="28"/>
                      <w:szCs w:val="22"/>
                    </w:rPr>
                    <w:t>Speaker</w:t>
                  </w:r>
                  <w:r w:rsidR="00F6350D">
                    <w:rPr>
                      <w:rFonts w:ascii="Arial" w:hAnsi="Arial" w:cs="Arial"/>
                      <w:sz w:val="28"/>
                      <w:szCs w:val="22"/>
                    </w:rPr>
                    <w:t>(s)</w:t>
                  </w:r>
                  <w:r w:rsidRPr="00E2306B">
                    <w:rPr>
                      <w:rFonts w:ascii="Arial" w:hAnsi="Arial" w:cs="Arial"/>
                      <w:sz w:val="28"/>
                      <w:szCs w:val="22"/>
                    </w:rPr>
                    <w:t xml:space="preserve">: </w:t>
                  </w:r>
                </w:p>
                <w:p w:rsidR="00420A1B" w:rsidRPr="00E2306B" w:rsidP="00DA08F4">
                  <w:pPr>
                    <w:pStyle w:val="NormalWeb"/>
                    <w:spacing w:after="240"/>
                    <w:jc w:val="center"/>
                    <w:rPr>
                      <w:rFonts w:ascii="Arial" w:hAnsi="Arial" w:cs="Arial"/>
                      <w:sz w:val="28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2"/>
                    </w:rPr>
                    <w:t>2/10</w:t>
                  </w:r>
                  <w:r>
                    <w:rPr>
                      <w:rFonts w:ascii="Arial" w:hAnsi="Arial" w:cs="Arial"/>
                      <w:sz w:val="28"/>
                      <w:szCs w:val="22"/>
                    </w:rPr>
                    <w:t>/2021 7:45:00 AM</w:t>
                  </w:r>
                  <w:r w:rsidR="00DA08F4">
                    <w:rPr>
                      <w:rFonts w:ascii="Arial" w:hAnsi="Arial" w:cs="Arial"/>
                      <w:sz w:val="28"/>
                      <w:szCs w:val="22"/>
                    </w:rPr>
                    <w:t xml:space="preserve"> to </w:t>
                  </w:r>
                  <w:r>
                    <w:rPr>
                      <w:rFonts w:ascii="Arial" w:hAnsi="Arial" w:cs="Arial"/>
                      <w:noProof/>
                      <w:sz w:val="28"/>
                      <w:szCs w:val="22"/>
                    </w:rPr>
                    <w:t>2/10</w:t>
                  </w:r>
                  <w:r>
                    <w:rPr>
                      <w:rFonts w:ascii="Arial" w:hAnsi="Arial" w:cs="Arial"/>
                      <w:sz w:val="28"/>
                      <w:szCs w:val="22"/>
                    </w:rPr>
                    <w:t>/2021 1:15:00 PM</w:t>
                  </w:r>
                  <w:r w:rsidR="00DA08F4">
                    <w:rPr>
                      <w:rFonts w:ascii="Arial" w:hAnsi="Arial" w:cs="Arial"/>
                      <w:sz w:val="28"/>
                      <w:szCs w:val="22"/>
                    </w:rPr>
                    <w:t xml:space="preserve"> -- </w:t>
                  </w:r>
                  <w:r w:rsidRPr="00E2306B">
                    <w:rPr>
                      <w:rFonts w:ascii="Arial" w:hAnsi="Arial" w:cs="Arial"/>
                      <w:noProof/>
                      <w:sz w:val="28"/>
                      <w:szCs w:val="22"/>
                    </w:rPr>
                    <w:t>Avera eCARE</w:t>
                  </w:r>
                  <w:r w:rsidRPr="00E2306B">
                    <w:rPr>
                      <w:rFonts w:ascii="Arial" w:hAnsi="Arial" w:cs="Arial"/>
                      <w:sz w:val="28"/>
                      <w:szCs w:val="22"/>
                    </w:rPr>
                    <w:t xml:space="preserve"> Education Center</w:t>
                  </w:r>
                </w:p>
                <w:p w:rsidR="00420A1B" w:rsidRPr="00E2306B" w:rsidP="00420A1B">
                  <w:pPr>
                    <w:spacing w:after="0" w:line="240" w:lineRule="auto"/>
                    <w:jc w:val="center"/>
                    <w:rPr>
                      <w:rFonts w:ascii="Arial" w:hAnsi="Arial" w:eastAsiaTheme="minorEastAsia" w:cs="Arial"/>
                    </w:rPr>
                  </w:pPr>
                </w:p>
                <w:p w:rsidR="00420A1B" w:rsidRPr="00E2306B" w:rsidP="00E2306B">
                  <w:pPr>
                    <w:rPr>
                      <w:rFonts w:ascii="Arial" w:hAnsi="Arial" w:cs="Arial"/>
                    </w:rPr>
                  </w:pPr>
                  <w:r w:rsidRPr="00E2306B">
                    <w:rPr>
                      <w:rFonts w:ascii="Arial" w:hAnsi="Arial" w:eastAsiaTheme="minorEastAsia" w:cs="Arial"/>
                      <w:color w:val="FF0000"/>
                      <w:kern w:val="24"/>
                      <w:u w:val="single"/>
                    </w:rPr>
                    <w:t xml:space="preserve">Prior to the education, create an account in the CE Portal if you have not already done so.  </w:t>
                  </w:r>
                  <w:r>
                    <w:fldChar w:fldCharType="begin"/>
                  </w:r>
                  <w:r>
                    <w:instrText xml:space="preserve"> HYPERLINK "https://www.avera.org/app/calendar/event/detail.aspx?eventId=47f6abc4-ab57-e311-af5d-001ec9e06176" </w:instrText>
                  </w:r>
                  <w:r>
                    <w:fldChar w:fldCharType="separate"/>
                  </w:r>
                  <w:r w:rsidRPr="00E2306B">
                    <w:rPr>
                      <w:rFonts w:ascii="Arial" w:hAnsi="Arial" w:eastAsiaTheme="minorEastAsia" w:cs="Arial"/>
                      <w:color w:val="FF0000"/>
                      <w:kern w:val="24"/>
                      <w:u w:val="single"/>
                    </w:rPr>
                    <w:t xml:space="preserve">For directions, click here. </w:t>
                  </w:r>
                  <w:r>
                    <w:fldChar w:fldCharType="end"/>
                  </w:r>
                </w:p>
                <w:p w:rsidR="00420A1B" w:rsidRPr="00F6350D" w:rsidP="00420A1B">
                  <w:pPr>
                    <w:pStyle w:val="NormalWeb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35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Purpose:</w:t>
                  </w:r>
                  <w:r w:rsidRPr="00F6350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635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6350D" w:rsidR="00A82529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Cardiac STABLE</w:t>
                  </w:r>
                  <w:r w:rsidRPr="00F6350D" w:rsidR="00A8252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is a standardized class that is used to educate NICU staff on congenital heart defects and the management of them after delivery. This class is offered to all NICU staff.</w:t>
                  </w:r>
                </w:p>
                <w:p w:rsidR="008452B8"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635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Objectives:</w:t>
                  </w:r>
                  <w:r w:rsidRPr="00F6350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6350D" w:rsidR="00A8252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 "" 0 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0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+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IF </w:instrTex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"</w:instrTex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1 Describe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how to perform proper physical assessment exam of neonates with congenital heart defects.</w:instrText>
                  </w:r>
                </w:p>
                <w:p w:rsidR="008452B8"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2 Indentify incidence, signs, and symptoms of neonates with CHD.</w:instrText>
                  </w:r>
                </w:p>
                <w:p w:rsidR="008452B8"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3 Evaluate and stabilize neonates with CHD.</w:instrText>
                  </w:r>
                </w:p>
                <w:p w:rsidR="008452B8"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4 Recognize the STABLE program in relation to the cardiac module.</w:instrText>
                  </w:r>
                </w:p>
                <w:p w:rsidR="008452B8"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5 80% of nurses will self-identify a practice change related to identifying and/or caring for neonates born with congenital heart defects.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 "" 0 1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1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= 2 "</w:instrText>
                  </w:r>
                </w:p>
                <w:p w:rsidR="008452B8" w:rsidP="008452B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instrText xml:space="preserve">Nurse </w:instrText>
                  </w:r>
                  <w:r w:rsidRPr="00F635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instrText>Objectives:</w:instrText>
                  </w:r>
                </w:p>
                <w:p w:rsidR="00A82529" w:rsidRPr="00F6350D"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MERGEFIELD ANCCObjectives \* MERGEFORMAT 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«ANCCObjectives»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 "</w:instrTex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>1 Describe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how to perform proper physical assessment exam of neonates with congenital heart defects.</w:instrText>
                  </w:r>
                </w:p>
                <w:p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2 Indentify incidence, signs, and symptoms of neonates with CHD.</w:instrText>
                  </w:r>
                </w:p>
                <w:p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3 Evaluate and stabilize neonates with CHD.</w:instrText>
                  </w:r>
                </w:p>
                <w:p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4 Recognize the STABLE program in relation to the cardiac module.</w:instrText>
                  </w:r>
                </w:p>
                <w:p w:rsidR="00A82529" w:rsidRPr="00F6350D"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5 80% of nurses will self-identify a practice change related to identifying and/or caring for neonates born with congenital heart defects.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>"</w:instrTex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1 Describe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how to perform proper physical assessment exam of neonates with congenital heart defects.</w:t>
                  </w:r>
                </w:p>
                <w:p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 Indentify incidence, signs, and symptoms of neonates with CHD.</w:t>
                  </w:r>
                </w:p>
                <w:p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 Evaluate and stabilize neonates with CHD.</w:t>
                  </w:r>
                </w:p>
                <w:p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4 Recognize the STABLE program in relation to the cardiac module.</w:t>
                  </w:r>
                </w:p>
                <w:p w:rsidP="008452B8">
                  <w:pPr>
                    <w:pStyle w:val="NormalWeb"/>
                    <w:spacing w:before="0" w:beforeAutospacing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 80% of nurses will self-identify a practice change related to identifying and/or caring for neonates born with congenital heart defects.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A82529" w:rsidRPr="00F6350D" w:rsidP="00A82529">
                  <w:pPr>
                    <w:pStyle w:val="NormalWeb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35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Target Audience:</w:t>
                  </w:r>
                  <w:r w:rsidRPr="00F6350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6350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Nurse</w:t>
                  </w:r>
                </w:p>
                <w:p w:rsidR="00A82529" w:rsidRPr="00F6350D" w:rsidP="00A82529">
                  <w:pPr>
                    <w:pStyle w:val="NormalWeb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635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</w:rPr>
                    <w:t>For successful completion:</w:t>
                  </w:r>
                </w:p>
                <w:p w:rsidR="00A82529" w:rsidRPr="00F6350D" w:rsidP="00A82529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35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To record attendance and obtain CE credit, you must have an Avera CE Portal Profile. </w:t>
                  </w:r>
                </w:p>
                <w:p w:rsidR="00A82529" w:rsidRPr="00F6350D" w:rsidP="00A82529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35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You must bring your mobile phone: Attendance will be recorded via text message.</w:t>
                  </w:r>
                </w:p>
                <w:p w:rsidR="00420A1B" w:rsidRPr="00F6350D" w:rsidP="00A82529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35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 receive a CE certificate, you must log in to your Avera CE Portal Profile after the educational activity and complete the evaluation.</w:t>
                  </w:r>
                  <w:r w:rsidRPr="00F6350D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Avera is accredited by the Accreditation Council for Continuing Medical Education to provide continuing education for physicians. Avera designates this educational activity for a maximum of </w:t>
                  </w:r>
                  <w:r w:rsidRPr="00F6350D" w:rsidR="004C07B2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5.00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AMA PRA Category 1 Credit per session. Physicians should only claim credit commensurate with the extent of their participation in the activity. </w:t>
                  </w:r>
                </w:p>
                <w:p w:rsidR="00420A1B" w:rsidRPr="00F6350D" w:rsidP="00420A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Avera is accredited as a provider of nursing continuing professional development by the American Nurses Credentialing Center's Commission on Accreditation.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A total </w:t>
                  </w:r>
                  <w:r w:rsidRPr="00F6350D" w:rsidR="0047381C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5.00</w:t>
                  </w:r>
                  <w:r w:rsidRPr="00F6350D">
                    <w:rPr>
                      <w:rFonts w:eastAsiaTheme="minorEastAsia" w:cstheme="minorHAnsi"/>
                      <w:color w:val="FF0000"/>
                      <w:kern w:val="24"/>
                      <w:sz w:val="20"/>
                      <w:szCs w:val="20"/>
                    </w:rPr>
                    <w:t xml:space="preserve"> 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contact hours can be received upon completion of this activity. Attendance at the entire educational activity is required to receive contact hours.</w:t>
                  </w:r>
                </w:p>
                <w:p w:rsidR="00C22440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C22440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Avera Health Provider #1029 is an approved provider of continuing education by the South Dakota Board of Social Work Examiners.  Social Workers will receive</w:t>
                  </w:r>
                  <w:r w:rsidRPr="00F6350D" w:rsidR="0047381C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 w:rsidRPr="00F6350D" w:rsidR="0047381C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5.00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 continuing education clock hours for participating in this course</w:t>
                  </w:r>
                  <w:r w:rsidRPr="00F6350D" w:rsidR="00A82529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.</w:t>
                  </w:r>
                </w:p>
                <w:p w:rsidR="00A82529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A82529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Avera is an approved provider of continuing education for South Dakota through the South Dakota Board of Nursing Facility Administrators. This educational activity is approved for </w:t>
                  </w:r>
                  <w:r w:rsidRPr="00F6350D">
                    <w:rPr>
                      <w:rFonts w:eastAsiaTheme="minorEastAsia" w:cstheme="minorHAnsi"/>
                      <w:noProof/>
                      <w:color w:val="FF0000"/>
                      <w:kern w:val="24"/>
                      <w:sz w:val="20"/>
                      <w:szCs w:val="20"/>
                    </w:rPr>
                    <w:t>5.00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hours for nursing facility administrators.</w:t>
                  </w: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E4DD6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  <w:u w:val="single"/>
                    </w:rPr>
                    <w:t>Policy on Disclosure: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Continuing Education credits have been approved for this event.  Due to the regu</w:t>
                  </w:r>
                  <w:r w:rsidR="007E4DD6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lations required for CE credits any one in a position to control or influence the content of this educational activity is required to fully disclose all conflicts of interest that are pertinent to this educational activity to participants.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In observance to this requirement we are providing the f</w:t>
                  </w:r>
                  <w:r w:rsidR="007E4DD6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ollowing disclosure information:  There is nothing to disclose.</w:t>
                  </w:r>
                  <w:r w:rsidR="005F4BAC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 xml:space="preserve">  </w:t>
                  </w: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F6350D">
                    <w:rPr>
                      <w:rFonts w:eastAsiaTheme="minorEastAsia" w:cstheme="minorHAnsi"/>
                      <w:noProof/>
                      <w:color w:val="000000" w:themeColor="text1"/>
                      <w:kern w:val="24"/>
                      <w:sz w:val="20"/>
                      <w:szCs w:val="20"/>
                    </w:rPr>
                    <w:t>Meghan  Foster</w:t>
                  </w: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, RN: Nothing to disclose</w:t>
                  </w:r>
                </w:p>
                <w:p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F6350D"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  <w:t>Lisa  Jorgenson, MSN: Nothing to disclose</w:t>
                  </w: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F6350D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420A1B" w:rsidRPr="00F6350D" w:rsidP="00420A1B">
                  <w:pPr>
                    <w:spacing w:after="0" w:line="240" w:lineRule="auto"/>
                    <w:rPr>
                      <w:rFonts w:eastAsiaTheme="minorEastAsia" w:cstheme="minorHAnsi"/>
                      <w:color w:val="000000" w:themeColor="text1"/>
                      <w:kern w:val="24"/>
                    </w:rPr>
                  </w:pPr>
                </w:p>
                <w:p w:rsidR="00420A1B" w:rsidRPr="00E2306B" w:rsidP="00420A1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  <w:p w:rsidR="00420A1B" w:rsidRPr="00E2306B" w:rsidP="00420A1B">
                  <w:pPr>
                    <w:rPr>
                      <w:rFonts w:ascii="Arial" w:hAnsi="Arial" w:cs="Arial"/>
                    </w:rPr>
                  </w:pPr>
                </w:p>
                <w:p w:rsidR="005D7C2A" w:rsidRPr="005D7C2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82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-292227</wp:posOffset>
                </wp:positionV>
                <wp:extent cx="7840717" cy="441435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0717" cy="441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height:34.75pt;margin-left:-32.75pt;margin-top:-23pt;mso-wrap-distance-bottom:0;mso-wrap-distance-left:9pt;mso-wrap-distance-right:9pt;mso-wrap-distance-top:0;mso-wrap-style:square;position:absolute;v-text-anchor:middle;visibility:visible;width:617.4pt;z-index:251660288" fillcolor="#f4b083" stroked="f" strokeweight="1pt"/>
            </w:pict>
          </mc:Fallback>
        </mc:AlternateContent>
      </w:r>
    </w:p>
    <w:p w:rsidR="004D5FE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6021324</wp:posOffset>
            </wp:positionH>
            <wp:positionV relativeFrom="paragraph">
              <wp:posOffset>8832140</wp:posOffset>
            </wp:positionV>
            <wp:extent cx="1124458" cy="419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87" cy="45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C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156591</wp:posOffset>
            </wp:positionH>
            <wp:positionV relativeFrom="margin">
              <wp:posOffset>8966200</wp:posOffset>
            </wp:positionV>
            <wp:extent cx="524510" cy="48641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Sect="005D7C2A">
      <w:pgSz w:w="12240" w:h="15840"/>
      <w:pgMar w:top="54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69364E"/>
    <w:multiLevelType w:val="hybridMultilevel"/>
    <w:tmpl w:val="F984C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578"/>
    <w:multiLevelType w:val="hybridMultilevel"/>
    <w:tmpl w:val="9622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545F"/>
    <w:multiLevelType w:val="hybridMultilevel"/>
    <w:tmpl w:val="163A14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8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C2A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Plucker</dc:creator>
  <cp:lastModifiedBy>James Saylor</cp:lastModifiedBy>
  <cp:revision>8</cp:revision>
  <dcterms:created xsi:type="dcterms:W3CDTF">2020-12-08T22:13:00Z</dcterms:created>
  <dcterms:modified xsi:type="dcterms:W3CDTF">2021-01-11T17:51:00Z</dcterms:modified>
</cp:coreProperties>
</file>