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Friday</w:t>
                  </w:r>
                  <w:r>
                    <w:rPr>
                      <w:rFonts w:ascii="Calibri" w:hAnsi="Calibri" w:cs="Calibri"/>
                      <w:sz w:val="48"/>
                      <w:szCs w:val="48"/>
                    </w:rPr>
                    <w:t xml:space="preserve"> Forums -Identifying Trauma in Children and Creating a Culture of Healing (Enduring Material)</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3/2</w:t>
                  </w:r>
                  <w:r>
                    <w:rPr>
                      <w:rFonts w:ascii="Calibri" w:hAnsi="Calibri" w:cs="Calibri"/>
                      <w:sz w:val="36"/>
                      <w:szCs w:val="36"/>
                    </w:rPr>
                    <w:t>/2020 2:00:00 PM</w:t>
                  </w:r>
                  <w:r w:rsidRPr="0078042E" w:rsidR="00900785">
                    <w:rPr>
                      <w:rFonts w:ascii="Calibri" w:hAnsi="Calibri" w:cs="Calibri"/>
                      <w:sz w:val="36"/>
                      <w:szCs w:val="36"/>
                    </w:rPr>
                    <w:t>-</w:t>
                  </w:r>
                  <w:r w:rsidR="00DE182F">
                    <w:rPr>
                      <w:rFonts w:ascii="Calibri" w:hAnsi="Calibri" w:cs="Calibri"/>
                      <w:noProof/>
                      <w:sz w:val="36"/>
                      <w:szCs w:val="36"/>
                    </w:rPr>
                    <w:t>3/1</w:t>
                  </w:r>
                  <w:r w:rsidR="00DE182F">
                    <w:rPr>
                      <w:rFonts w:ascii="Calibri" w:hAnsi="Calibri" w:cs="Calibri"/>
                      <w:sz w:val="36"/>
                      <w:szCs w:val="36"/>
                    </w:rPr>
                    <w:t>/2021 3:00:00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This educational</w:t>
                  </w:r>
                  <w:r w:rsidR="002E1AA5">
                    <w:rPr>
                      <w:rFonts w:ascii="Calibri" w:hAnsi="Calibri" w:cs="Calibri"/>
                    </w:rPr>
                    <w:t xml:space="preserve"> series is specially designed to educate Nurses, Teachers, Counselors, Social Workers, and other disciplines who work with children and adolescent youth, particularly in the school setting, on behavioral health topics. </w:t>
                  </w:r>
                </w:p>
                <w:p w:rsidR="002E1AA5" w:rsidP="0012773F">
                  <w:pPr>
                    <w:pStyle w:val="NormalWeb"/>
                    <w:rPr>
                      <w:rFonts w:ascii="Calibri" w:hAnsi="Calibri" w:cs="Calibri"/>
                    </w:rPr>
                  </w:pPr>
                </w:p>
                <w:p w:rsidR="002E1AA5" w:rsidP="0012773F">
                  <w:pPr>
                    <w:pStyle w:val="NormalWeb"/>
                    <w:rPr>
                      <w:rFonts w:ascii="Calibri" w:hAnsi="Calibri" w:cs="Calibri"/>
                    </w:rPr>
                  </w:pPr>
                  <w:r>
                    <w:rPr>
                      <w:rFonts w:ascii="Calibri" w:hAnsi="Calibri" w:cs="Calibri"/>
                    </w:rPr>
                    <w:t xml:space="preserve">Upon the completion of this activity, the learner will learn how trauma impacts the brain, learn about ACEs and strategies to help create a culture of healing. </w:t>
                  </w:r>
                </w:p>
                <w:p w:rsidR="002E1AA5" w:rsidP="0012773F">
                  <w:pPr>
                    <w:pStyle w:val="NormalWeb"/>
                    <w:rPr>
                      <w:rFonts w:ascii="Calibri" w:hAnsi="Calibri" w:cs="Calibri"/>
                    </w:rPr>
                  </w:pPr>
                </w:p>
                <w:p w:rsidR="002E1AA5" w:rsidP="0012773F">
                  <w:pPr>
                    <w:pStyle w:val="NormalWeb"/>
                    <w:rPr>
                      <w:rFonts w:ascii="Calibri" w:hAnsi="Calibri" w:cs="Calibri"/>
                    </w:rPr>
                  </w:pPr>
                  <w:r>
                    <w:rPr>
                      <w:rFonts w:ascii="Calibri" w:hAnsi="Calibri" w:cs="Calibri"/>
                    </w:rPr>
                    <w:t>This is a recording of the live session offered on 2.28.20 - located in J:/Temporary Files/CE Portal Videos</w:t>
                  </w:r>
                </w:p>
                <w:p w:rsidR="0012773F" w:rsidRPr="0012773F" w:rsidP="0012773F">
                  <w:pPr>
                    <w:pStyle w:val="NormalWeb"/>
                    <w:rPr>
                      <w:rFonts w:ascii="Calibri" w:hAnsi="Calibri" w:cs="Calibri"/>
                    </w:rPr>
                  </w:pP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Identify how trauma impacts the brain</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Recognize the impact of ACEs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Describe the strategies to help create a culture of healing.</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 xml:space="preserve">Psychiatry, </w:t>
                  </w:r>
                  <w:r w:rsidR="007F2D4F">
                    <w:rPr>
                      <w:rFonts w:ascii="Calibri" w:hAnsi="Calibri" w:cs="Calibri"/>
                      <w:bCs/>
                    </w:rPr>
                    <w:t>Behavioral Health</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Jennifer  Prouty: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Abbie  Seliski, BAN: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Mary  Weber, MS, LPC, LMFT: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