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Fundamentals of</w:t>
                  </w:r>
                  <w:r>
                    <w:rPr>
                      <w:rFonts w:ascii="Calibri" w:hAnsi="Calibri" w:cs="Calibri"/>
                      <w:sz w:val="48"/>
                      <w:szCs w:val="48"/>
                    </w:rPr>
                    <w:t xml:space="preserve"> Critical Care Support (FCCS) Day 1 May 19th 2020 (May 19 2020)</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5/19</w:t>
                  </w:r>
                  <w:r>
                    <w:rPr>
                      <w:rFonts w:ascii="Calibri" w:hAnsi="Calibri" w:cs="Calibri"/>
                      <w:sz w:val="36"/>
                      <w:szCs w:val="36"/>
                    </w:rPr>
                    <w:t>/2020 8:00:00 AM</w:t>
                  </w:r>
                  <w:r w:rsidRPr="0078042E" w:rsidR="00900785">
                    <w:rPr>
                      <w:rFonts w:ascii="Calibri" w:hAnsi="Calibri" w:cs="Calibri"/>
                      <w:sz w:val="36"/>
                      <w:szCs w:val="36"/>
                    </w:rPr>
                    <w:t>-</w:t>
                  </w:r>
                  <w:r w:rsidR="00DE182F">
                    <w:rPr>
                      <w:rFonts w:ascii="Calibri" w:hAnsi="Calibri" w:cs="Calibri"/>
                      <w:noProof/>
                      <w:sz w:val="36"/>
                      <w:szCs w:val="36"/>
                    </w:rPr>
                    <w:t>5/19</w:t>
                  </w:r>
                  <w:r w:rsidR="00DE182F">
                    <w:rPr>
                      <w:rFonts w:ascii="Calibri" w:hAnsi="Calibri" w:cs="Calibri"/>
                      <w:sz w:val="36"/>
                      <w:szCs w:val="36"/>
                    </w:rPr>
                    <w:t>/2020 5:00:00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The Fundamental</w:t>
                  </w:r>
                  <w:r w:rsidR="002E1AA5">
                    <w:rPr>
                      <w:rFonts w:ascii="Calibri" w:hAnsi="Calibri" w:cs="Calibri"/>
                    </w:rPr>
                    <w:t xml:space="preserve"> Critical Care Support (FCCS) program was developed by the Society of Critical Care Medicine to assist clinical care providers in acquiring, reviewing and practicing knowledge and skills needed to stabilize critically ill or injured patients.This two day course will focus on knowledge for the providers delivering care to the sicker patients in the critical access facilities and enhance their knowledge of care for these patients. This two day course is designed for our clinical providers in the region. We are Honored to have Dr. J.Christopher Farmer be part of faculty at this course. He is a co-author of Fundamentals of Critical Care Support 6th edition.</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the seriously ill patient.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Management of Life threatening Electrolyte and metabolic disturbances.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Monitoring Oxygen Balance and Acid Base Balance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Discuss care of the neurological patient.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Diagnosis and management of Acute Respiratory failure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Discuss special considerations.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Review the principles of mechanical ventilation Part 1 and Part 2</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Skills lab of ventilation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Recognize the seriously ill patient.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Management of Life threatening Electrolyte and metabolic disturbances.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Monitoring Oxygen Balance and Acid Base Balance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Discuss care of the neurological patient.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Diagnosis and management of Acute Respiratory failure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Discuss special considerations.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Review the principles of mechanical ventilation Part 1 and Part 2</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8. Skills lab of ventilation</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Emergency Medicine</w:t>
                  </w:r>
                  <w:r w:rsidR="007F2D4F">
                    <w:rPr>
                      <w:rFonts w:ascii="Calibri" w:hAnsi="Calibri" w:cs="Calibri"/>
                      <w:bCs/>
                    </w:rPr>
                    <w:t>, Family Medicine, Internal Medicine, Nephrology, Pulmonary Medicine, Critical Care, Trauma, Geriatrics</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6.75</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Lanny  Baker, MBA: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Ashwin  Gopalan, MD, FACS: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Emily K Hurst, DO: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Yunis  Mayasi,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Anas  moughrabieh, MD: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Cindy  Pirrung,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Muhammad  Usman, MD: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