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Avera Friday</w:t>
                  </w:r>
                  <w:r>
                    <w:rPr>
                      <w:rFonts w:ascii="Calibri" w:hAnsi="Calibri" w:cs="Calibri"/>
                      <w:sz w:val="48"/>
                      <w:szCs w:val="48"/>
                    </w:rPr>
                    <w:t xml:space="preserve"> Forums -QPR (Question, Persuade, Respond) (Enduring Material)</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12/23</w:t>
                  </w:r>
                  <w:r>
                    <w:rPr>
                      <w:rFonts w:ascii="Calibri" w:hAnsi="Calibri" w:cs="Calibri"/>
                      <w:sz w:val="36"/>
                      <w:szCs w:val="36"/>
                    </w:rPr>
                    <w:t>/2019 2:00:00 PM</w:t>
                  </w:r>
                  <w:r w:rsidRPr="0078042E" w:rsidR="00900785">
                    <w:rPr>
                      <w:rFonts w:ascii="Calibri" w:hAnsi="Calibri" w:cs="Calibri"/>
                      <w:sz w:val="36"/>
                      <w:szCs w:val="36"/>
                    </w:rPr>
                    <w:t>-</w:t>
                  </w:r>
                  <w:r w:rsidR="00DE182F">
                    <w:rPr>
                      <w:rFonts w:ascii="Calibri" w:hAnsi="Calibri" w:cs="Calibri"/>
                      <w:noProof/>
                      <w:sz w:val="36"/>
                      <w:szCs w:val="36"/>
                    </w:rPr>
                    <w:t>12/1</w:t>
                  </w:r>
                  <w:r w:rsidR="00DE182F">
                    <w:rPr>
                      <w:rFonts w:ascii="Calibri" w:hAnsi="Calibri" w:cs="Calibri"/>
                      <w:sz w:val="36"/>
                      <w:szCs w:val="36"/>
                    </w:rPr>
                    <w:t>/2020 3:00:00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Sioux Falls</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This educational</w:t>
                  </w:r>
                  <w:r w:rsidR="002E1AA5">
                    <w:rPr>
                      <w:rFonts w:ascii="Calibri" w:hAnsi="Calibri" w:cs="Calibri"/>
                    </w:rPr>
                    <w:t xml:space="preserve"> series is specially designed to educate Nurses, Teachers, Counselors, Social Workers, and other disciplines who work with children and adolescent youth, particularly in the school setting, on behavioral health topics. </w:t>
                  </w:r>
                </w:p>
                <w:p w:rsidR="002E1AA5" w:rsidP="0012773F">
                  <w:pPr>
                    <w:pStyle w:val="NormalWeb"/>
                    <w:rPr>
                      <w:rFonts w:ascii="Calibri" w:hAnsi="Calibri" w:cs="Calibri"/>
                    </w:rPr>
                  </w:pPr>
                </w:p>
                <w:p w:rsidR="002E1AA5" w:rsidP="0012773F">
                  <w:pPr>
                    <w:pStyle w:val="NormalWeb"/>
                    <w:rPr>
                      <w:rFonts w:ascii="Calibri" w:hAnsi="Calibri" w:cs="Calibri"/>
                    </w:rPr>
                  </w:pPr>
                  <w:r>
                    <w:rPr>
                      <w:rFonts w:ascii="Calibri" w:hAnsi="Calibri" w:cs="Calibri"/>
                    </w:rPr>
                    <w:t>QPR - QPR stands for Question, Persuade and Refer, three steps anyone can learn to help prevent suicide. Just like CPR, QPR is an emergency response to someone in crisis and can save lives. In this one hour training, participants first learn about the nature of suicidal communications, what forms these communications take and how they may be used as a stimulus for a QPR intervention.</w:t>
                  </w:r>
                </w:p>
                <w:p w:rsidR="002E1AA5" w:rsidP="0012773F">
                  <w:pPr>
                    <w:pStyle w:val="NormalWeb"/>
                    <w:rPr>
                      <w:rFonts w:ascii="Calibri" w:hAnsi="Calibri" w:cs="Calibri"/>
                    </w:rPr>
                  </w:pPr>
                </w:p>
                <w:p w:rsidR="002E1AA5" w:rsidP="0012773F">
                  <w:pPr>
                    <w:pStyle w:val="NormalWeb"/>
                    <w:rPr>
                      <w:rFonts w:ascii="Calibri" w:hAnsi="Calibri" w:cs="Calibri"/>
                    </w:rPr>
                  </w:pPr>
                  <w:r>
                    <w:rPr>
                      <w:rFonts w:ascii="Calibri" w:hAnsi="Calibri" w:cs="Calibri"/>
                    </w:rPr>
                    <w:t xml:space="preserve">The Helpline Center answers the National Suicide Prevention Lifeline for the state of South Dakota.  We recognize the need for awareness and education about suicide prevention to help break the stigma and save lives.  By working together and spreading awareness we can all help to save lives. </w:t>
                  </w:r>
                </w:p>
                <w:p w:rsidR="002E1AA5" w:rsidP="0012773F">
                  <w:pPr>
                    <w:pStyle w:val="NormalWeb"/>
                    <w:rPr>
                      <w:rFonts w:ascii="Calibri" w:hAnsi="Calibri" w:cs="Calibri"/>
                    </w:rPr>
                  </w:pPr>
                </w:p>
                <w:p w:rsidR="002E1AA5" w:rsidP="0012773F">
                  <w:pPr>
                    <w:pStyle w:val="NormalWeb"/>
                    <w:rPr>
                      <w:rFonts w:ascii="Calibri" w:hAnsi="Calibri" w:cs="Calibri"/>
                    </w:rPr>
                  </w:pPr>
                  <w:r>
                    <w:rPr>
                      <w:rFonts w:ascii="Calibri" w:hAnsi="Calibri" w:cs="Calibri"/>
                    </w:rPr>
                    <w:t>This is a recording of the live session on December 13, 2019.</w:t>
                  </w:r>
                </w:p>
                <w:p w:rsidR="002E1AA5" w:rsidP="0012773F">
                  <w:pPr>
                    <w:pStyle w:val="NormalWeb"/>
                    <w:rPr>
                      <w:rFonts w:ascii="Calibri" w:hAnsi="Calibri" w:cs="Calibri"/>
                    </w:rPr>
                  </w:pPr>
                  <w:r>
                    <w:rPr>
                      <w:rFonts w:ascii="Calibri" w:hAnsi="Calibri" w:cs="Calibri"/>
                    </w:rPr>
                    <w:t>Recording can be found: \\Phs-sfalls\files\Intr_dept\Temporary Files\CE Portal Videos    Named "Friday Forum 12.13.19"</w:t>
                  </w:r>
                </w:p>
                <w:p w:rsidR="0012773F" w:rsidRPr="0012773F" w:rsidP="0012773F">
                  <w:pPr>
                    <w:pStyle w:val="NormalWeb"/>
                    <w:rPr>
                      <w:rFonts w:ascii="Calibri" w:hAnsi="Calibri" w:cs="Calibri"/>
                    </w:rPr>
                  </w:pP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noProof/>
                    </w:rPr>
                  </w:pPr>
                  <w:r w:rsidRPr="007F2D4F">
                    <w:rPr>
                      <w:rFonts w:ascii="Calibri" w:hAnsi="Calibri" w:cs="Calibri"/>
                      <w:bCs/>
                      <w:noProof/>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Identify the nature of suicidal communications (warning signs).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Recognize the warning signs, both direct and indirect.</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Demonstrate how to be a stimulus for a QPR intervention.</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 xml:space="preserve">Psychiatry, </w:t>
                  </w:r>
                  <w:r w:rsidR="007F2D4F">
                    <w:rPr>
                      <w:rFonts w:ascii="Calibri" w:hAnsi="Calibri" w:cs="Calibri"/>
                      <w:bCs/>
                    </w:rPr>
                    <w:t>Behavioral Health</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1.00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Sheri  Nelson, MAL: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