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Orthopedic</w:t>
                  </w:r>
                  <w:r>
                    <w:rPr>
                      <w:rFonts w:ascii="Calibri" w:hAnsi="Calibri" w:cs="Calibri"/>
                      <w:sz w:val="48"/>
                      <w:szCs w:val="48"/>
                    </w:rPr>
                    <w:t xml:space="preserve"> &amp; Sports Medicine Symposium</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6/4</w:t>
                  </w:r>
                  <w:r>
                    <w:rPr>
                      <w:rFonts w:ascii="Calibri" w:hAnsi="Calibri" w:cs="Calibri"/>
                      <w:sz w:val="36"/>
                      <w:szCs w:val="36"/>
                    </w:rPr>
                    <w:t>/2020 3:00:00 PM</w:t>
                  </w:r>
                  <w:r w:rsidRPr="0078042E" w:rsidR="00900785">
                    <w:rPr>
                      <w:rFonts w:ascii="Calibri" w:hAnsi="Calibri" w:cs="Calibri"/>
                      <w:sz w:val="36"/>
                      <w:szCs w:val="36"/>
                    </w:rPr>
                    <w:t>-</w:t>
                  </w:r>
                  <w:r w:rsidR="00DE182F">
                    <w:rPr>
                      <w:rFonts w:ascii="Calibri" w:hAnsi="Calibri" w:cs="Calibri"/>
                      <w:noProof/>
                      <w:sz w:val="36"/>
                      <w:szCs w:val="36"/>
                    </w:rPr>
                    <w:t>6/5</w:t>
                  </w:r>
                  <w:r w:rsidR="00DE182F">
                    <w:rPr>
                      <w:rFonts w:ascii="Calibri" w:hAnsi="Calibri" w:cs="Calibri"/>
                      <w:sz w:val="36"/>
                      <w:szCs w:val="36"/>
                    </w:rPr>
                    <w:t>/2020 4:00:00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Avera</w:t>
                  </w:r>
                  <w:r w:rsidR="002E1AA5">
                    <w:rPr>
                      <w:rFonts w:ascii="Calibri" w:hAnsi="Calibri" w:cs="Calibri"/>
                    </w:rPr>
                    <w:t xml:space="preserve"> Sports Medicine Symposium has been developed to highlight current evidence-based information in orthopedics and sports medicine. Attendees will have the opportunity to participate in lecture, question and answer, and hands-on learning opportunities throughout the two day symposium</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Review current concussion management recommendations and the evidence behind them. (Schimelpfenig -evening)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Review the pertinent anatomy of the groin and muscle attachments. (Buchanan-evening)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3. identify the common mechanisms and clinical presentations of individuals suffering from knee dislocations. (O'Brien-evening)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Evaluation of patients with rotator cuff pathology. (Blake)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Review shoulder anatomy in 2 and 3 dimensions. (Buchanan)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demonstrate appropriate therapeutic exercises. (Eidsness)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Recognize common presentations and impact of depression and anxiety in athletes (Trombetta)</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Consider 6 major categories of interventions to help with pain (Shaikh)</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9. Recognize the athlete that is experiencing psychological symptoms after an injury. (Baum)</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10. Assess the benefits and risks of supplements and dietary changes in athletes, especially young adults (Heronimus)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11. Compare the 2-3 Movement Assessments to perform with athletes and their correlation in biomechanics and performance  (Pole)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12. Recognize the principles of specificity, overload, individualization, periodization, work-rest rations, repetition schemes and load management.(Brown)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13. Explore the Neuromuscular physiology behind plyometric training (Ferley)</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14. Describe current evidence associated with load management for runners.  (Tao)</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same as above</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Industry Professional</w:t>
                  </w:r>
                  <w:r w:rsidR="007F2D4F">
                    <w:rPr>
                      <w:rFonts w:ascii="Calibri" w:hAnsi="Calibri" w:cs="Calibri"/>
                      <w:bCs/>
                    </w:rPr>
                    <w:t>, Orthopaedics, Pediatrics, Physical Medicine, Preventive Medicine, Sports Medicine, Physical Therapist, Rehabilitation</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10.75</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JASON  ASKEW: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DONALD  BAUM,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Matthew  Blake,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John  Boehnke, ATC: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Eric  Brown: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Jonathan  Buchanan,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Alisa  Darling: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Jay  Eidsness, PT: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Derek  Ferley, PhD, CSCS: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Dustin  Gebur, MSEd, ATC: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Anna  Heronimus, RD: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Nick  Kocourek, MBA: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Pat  O'Brien,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Barb   Olinger, BSN: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Levi  Pole, DPT: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Vonda  Reed: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Sam  Schimelpfenig,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Adil  Shaikh,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Hanz  Tao, DPT: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Dominick  Trombetta,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Scott  Vandenbosch, PT: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