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Research</w:t>
                  </w:r>
                  <w:r>
                    <w:rPr>
                      <w:rFonts w:ascii="Calibri" w:hAnsi="Calibri" w:cs="Calibri"/>
                      <w:sz w:val="48"/>
                      <w:szCs w:val="48"/>
                    </w:rPr>
                    <w:t xml:space="preserve"> Grand Rounds, December 2019 (Dec 6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12/6</w:t>
                  </w:r>
                  <w:r>
                    <w:rPr>
                      <w:rFonts w:ascii="Calibri" w:hAnsi="Calibri" w:cs="Calibri"/>
                      <w:sz w:val="36"/>
                      <w:szCs w:val="36"/>
                    </w:rPr>
                    <w:t>/2019 2:30:00 PM</w:t>
                  </w:r>
                  <w:r w:rsidRPr="0078042E" w:rsidR="00900785">
                    <w:rPr>
                      <w:rFonts w:ascii="Calibri" w:hAnsi="Calibri" w:cs="Calibri"/>
                      <w:sz w:val="36"/>
                      <w:szCs w:val="36"/>
                    </w:rPr>
                    <w:t>-</w:t>
                  </w:r>
                  <w:r w:rsidR="00DE182F">
                    <w:rPr>
                      <w:rFonts w:ascii="Calibri" w:hAnsi="Calibri" w:cs="Calibri"/>
                      <w:noProof/>
                      <w:sz w:val="36"/>
                      <w:szCs w:val="36"/>
                    </w:rPr>
                    <w:t>12/6</w:t>
                  </w:r>
                  <w:r w:rsidR="00DE182F">
                    <w:rPr>
                      <w:rFonts w:ascii="Calibri" w:hAnsi="Calibri" w:cs="Calibri"/>
                      <w:sz w:val="36"/>
                      <w:szCs w:val="36"/>
                    </w:rPr>
                    <w:t>/2019 3:30:00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the learner will have better cooperative interactions and improved communication and understanding of ongoing research among investigators within Avera.</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when a conflict of interest exists.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Identify criteria for financial disclosures in clinical research.</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Explain Avera's requirements for financial disclosure and management of Conflicts of Interest.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when a conflict of interest exists.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Identify criteria for financial disclosures in clinical research.</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Explain Avera's requirements for financial disclosure and management of Conflicts of Interest.</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Research, </w:t>
                  </w:r>
                  <w:r w:rsidR="007F2D4F">
                    <w:rPr>
                      <w:rFonts w:ascii="Calibri" w:hAnsi="Calibri" w:cs="Calibri"/>
                      <w:bCs/>
                    </w:rPr>
                    <w:t>Hematology, Genetics, Obstetrics/Gynecology, Pathology, Oncology, Laboratory, 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Jyoti  Angal, MPH: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Lynn  Bartholow, 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Carla  Borchardt, DNP, RN, NE-BC: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Nandini  Dey,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Amy  Elliott,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Tamera J Larsen-Engelkes,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Tobias  Meissner,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Benjamin  Solomon,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David  Starks, MD: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