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38EE">
      <w:r>
        <w:rPr>
          <w:noProof/>
        </w:rPr>
        <w:pict>
          <v:shapetype id="_x0000_t202" coordsize="21600,21600" o:spt="202" path="m,l,21600r21600,l21600,xe">
            <v:stroke joinstyle="miter"/>
            <v:path gradientshapeok="t" o:connecttype="rect"/>
          </v:shapetype>
          <v:shape id="TextBox 8" o:spid="_x0000_s1025" type="#_x0000_t202" style="height:670pt;margin-left:42pt;margin-top:-7.45pt;mso-height-percent:0;mso-height-relative:margin;mso-width-percent:0;mso-width-relative:margin;mso-wrap-distance-bottom:0;mso-wrap-distance-left:9pt;mso-wrap-distance-right:9pt;mso-wrap-distance-top:0;mso-wrap-style:square;position:absolute;v-text-anchor:top;visibility:visible;width:525.4pt;z-index:251658240" filled="f" stroked="f">
            <v:textbox>
              <w:txbxContent>
                <w:p w:rsidR="00900785" w:rsidP="00900785">
                  <w:pPr>
                    <w:pStyle w:val="NormalWeb"/>
                    <w:spacing w:before="0" w:beforeAutospacing="0" w:after="0" w:afterAutospacing="0"/>
                    <w:jc w:val="center"/>
                  </w:pPr>
                </w:p>
                <w:p w:rsidR="0078042E" w:rsidP="00900785">
                  <w:pPr>
                    <w:pStyle w:val="NormalWeb"/>
                    <w:spacing w:before="0" w:beforeAutospacing="0" w:after="240" w:afterAutospacing="0"/>
                    <w:jc w:val="center"/>
                    <w:rPr>
                      <w:rFonts w:ascii="Calibri" w:hAnsi="Calibri" w:cs="Calibri"/>
                      <w:sz w:val="48"/>
                      <w:szCs w:val="48"/>
                    </w:rPr>
                  </w:pPr>
                  <w:r>
                    <w:rPr>
                      <w:rFonts w:ascii="Calibri" w:hAnsi="Calibri" w:cs="Calibri"/>
                      <w:noProof/>
                      <w:sz w:val="48"/>
                      <w:szCs w:val="48"/>
                    </w:rPr>
                    <w:t>Avera Research</w:t>
                  </w:r>
                  <w:r>
                    <w:rPr>
                      <w:rFonts w:ascii="Calibri" w:hAnsi="Calibri" w:cs="Calibri"/>
                      <w:sz w:val="48"/>
                      <w:szCs w:val="48"/>
                    </w:rPr>
                    <w:t xml:space="preserve"> Grand Rounds, October 2018 (Oct 5 2018)</w:t>
                  </w:r>
                </w:p>
                <w:p w:rsidR="00900785" w:rsidRPr="0078042E" w:rsidP="00900785">
                  <w:pPr>
                    <w:pStyle w:val="NormalWeb"/>
                    <w:spacing w:before="0" w:beforeAutospacing="0" w:after="240" w:afterAutospacing="0"/>
                    <w:jc w:val="center"/>
                    <w:rPr>
                      <w:rFonts w:ascii="Calibri" w:hAnsi="Calibri" w:cs="Calibri"/>
                      <w:sz w:val="36"/>
                      <w:szCs w:val="36"/>
                    </w:rPr>
                  </w:pPr>
                  <w:r w:rsidRPr="0078042E">
                    <w:rPr>
                      <w:rFonts w:ascii="Calibri" w:hAnsi="Calibri" w:cs="Calibri"/>
                      <w:sz w:val="36"/>
                      <w:szCs w:val="36"/>
                    </w:rPr>
                    <w:t xml:space="preserve">Speaker:  </w:t>
                  </w:r>
                  <w:r w:rsidR="00666C3A">
                    <w:rPr>
                      <w:rFonts w:ascii="Calibri" w:hAnsi="Calibri" w:cs="Calibri"/>
                      <w:sz w:val="36"/>
                      <w:szCs w:val="36"/>
                    </w:rPr>
                    <w:fldChar w:fldCharType="begin"/>
                  </w:r>
                  <w:r w:rsidR="00666C3A">
                    <w:rPr>
                      <w:rFonts w:ascii="Calibri" w:hAnsi="Calibri" w:cs="Calibri"/>
                      <w:sz w:val="36"/>
                      <w:szCs w:val="36"/>
                    </w:rPr>
                    <w:instrText xml:space="preserve"> MERGEFIELD FullName \* MERGEFORMAT </w:instrText>
                  </w:r>
                  <w:r w:rsidR="00666C3A">
                    <w:rPr>
                      <w:rFonts w:ascii="Calibri" w:hAnsi="Calibri" w:cs="Calibri"/>
                      <w:sz w:val="36"/>
                      <w:szCs w:val="36"/>
                    </w:rPr>
                    <w:fldChar w:fldCharType="separate"/>
                  </w:r>
                  <w:r w:rsidR="00666C3A">
                    <w:rPr>
                      <w:rFonts w:ascii="Calibri" w:hAnsi="Calibri" w:cs="Calibri"/>
                      <w:noProof/>
                      <w:sz w:val="36"/>
                      <w:szCs w:val="36"/>
                    </w:rPr>
                    <w:t>«FullName»</w:t>
                  </w:r>
                  <w:r w:rsidR="00666C3A">
                    <w:rPr>
                      <w:rFonts w:ascii="Calibri" w:hAnsi="Calibri" w:cs="Calibri"/>
                      <w:sz w:val="36"/>
                      <w:szCs w:val="36"/>
                    </w:rPr>
                    <w:fldChar w:fldCharType="end"/>
                  </w:r>
                </w:p>
                <w:p w:rsidR="00666C3A" w:rsidP="00900785">
                  <w:pPr>
                    <w:pStyle w:val="NormalWeb"/>
                    <w:spacing w:after="240"/>
                    <w:jc w:val="center"/>
                    <w:rPr>
                      <w:rFonts w:ascii="Calibri" w:hAnsi="Calibri" w:cs="Calibri"/>
                      <w:sz w:val="36"/>
                      <w:szCs w:val="36"/>
                    </w:rPr>
                  </w:pPr>
                  <w:r w:rsidR="00DE182F">
                    <w:rPr>
                      <w:rFonts w:ascii="Calibri" w:hAnsi="Calibri" w:cs="Calibri"/>
                      <w:noProof/>
                      <w:sz w:val="36"/>
                      <w:szCs w:val="36"/>
                    </w:rPr>
                    <w:t>10/5</w:t>
                  </w:r>
                  <w:r>
                    <w:rPr>
                      <w:rFonts w:ascii="Calibri" w:hAnsi="Calibri" w:cs="Calibri"/>
                      <w:sz w:val="36"/>
                      <w:szCs w:val="36"/>
                    </w:rPr>
                    <w:t>/2018 2:30:00 PM</w:t>
                  </w:r>
                  <w:r w:rsidRPr="0078042E" w:rsidR="00900785">
                    <w:rPr>
                      <w:rFonts w:ascii="Calibri" w:hAnsi="Calibri" w:cs="Calibri"/>
                      <w:sz w:val="36"/>
                      <w:szCs w:val="36"/>
                    </w:rPr>
                    <w:t>-</w:t>
                  </w:r>
                  <w:r w:rsidR="00DE182F">
                    <w:rPr>
                      <w:rFonts w:ascii="Calibri" w:hAnsi="Calibri" w:cs="Calibri"/>
                      <w:noProof/>
                      <w:sz w:val="36"/>
                      <w:szCs w:val="36"/>
                    </w:rPr>
                    <w:t>10/5</w:t>
                  </w:r>
                  <w:r w:rsidR="00DE182F">
                    <w:rPr>
                      <w:rFonts w:ascii="Calibri" w:hAnsi="Calibri" w:cs="Calibri"/>
                      <w:sz w:val="36"/>
                      <w:szCs w:val="36"/>
                    </w:rPr>
                    <w:t>/2018 3:30:00 PM</w:t>
                  </w:r>
                </w:p>
                <w:p w:rsidR="00900785" w:rsidP="006B6D30">
                  <w:pPr>
                    <w:spacing w:after="0" w:line="240" w:lineRule="auto"/>
                    <w:jc w:val="center"/>
                    <w:rPr>
                      <w:rFonts w:ascii="Calibri" w:hAnsi="Calibri" w:eastAsiaTheme="minorEastAsia" w:cs="Calibri"/>
                      <w:sz w:val="36"/>
                      <w:szCs w:val="36"/>
                    </w:rPr>
                  </w:pPr>
                  <w:r>
                    <w:rPr>
                      <w:rFonts w:ascii="Calibri" w:hAnsi="Calibri" w:eastAsiaTheme="minorEastAsia" w:cs="Calibri"/>
                      <w:noProof/>
                      <w:sz w:val="36"/>
                      <w:szCs w:val="36"/>
                    </w:rPr>
                    <w:t>Sioux Falls</w:t>
                  </w:r>
                </w:p>
                <w:p w:rsidR="006B6D30" w:rsidP="006B6D30">
                  <w:pPr>
                    <w:spacing w:after="0" w:line="240" w:lineRule="auto"/>
                    <w:jc w:val="center"/>
                    <w:rPr>
                      <w:rFonts w:ascii="Calibri" w:hAnsi="Calibri" w:eastAsiaTheme="minorEastAsia" w:cs="Calibri"/>
                      <w:sz w:val="36"/>
                      <w:szCs w:val="36"/>
                    </w:rPr>
                  </w:pPr>
                </w:p>
                <w:p w:rsidR="006B6D30" w:rsidRPr="0093151B" w:rsidP="0093151B">
                  <w:pPr>
                    <w:jc w:val="center"/>
                    <w:rPr>
                      <w:sz w:val="18"/>
                    </w:rPr>
                  </w:pPr>
                  <w:r w:rsidRPr="00900785">
                    <w:rPr>
                      <w:rFonts w:ascii="Bookman Old Style" w:hAnsi="Bookman Old Style" w:eastAsiaTheme="minorEastAsia"/>
                      <w:color w:val="FF0000"/>
                      <w:kern w:val="24"/>
                      <w:sz w:val="24"/>
                      <w:szCs w:val="32"/>
                      <w:u w:val="single"/>
                    </w:rPr>
                    <w:t xml:space="preserve">Prior to the education, create an account in the CE Portal if you have not </w:t>
                  </w:r>
                  <w:r>
                    <w:rPr>
                      <w:rFonts w:ascii="Bookman Old Style" w:hAnsi="Bookman Old Style" w:eastAsiaTheme="minorEastAsia"/>
                      <w:color w:val="FF0000"/>
                      <w:kern w:val="24"/>
                      <w:sz w:val="24"/>
                      <w:szCs w:val="32"/>
                      <w:u w:val="single"/>
                    </w:rPr>
                    <w:br/>
                  </w:r>
                  <w:r w:rsidRPr="00900785">
                    <w:rPr>
                      <w:rFonts w:ascii="Bookman Old Style" w:hAnsi="Bookman Old Style" w:eastAsiaTheme="minorEastAsia"/>
                      <w:color w:val="FF0000"/>
                      <w:kern w:val="24"/>
                      <w:sz w:val="24"/>
                      <w:szCs w:val="32"/>
                      <w:u w:val="single"/>
                    </w:rPr>
                    <w:t xml:space="preserve">already done so.  </w:t>
                  </w:r>
                  <w:r>
                    <w:fldChar w:fldCharType="begin"/>
                  </w:r>
                  <w:r>
                    <w:instrText xml:space="preserve"> HYPERLINK "https://www.avera.org/app/calendar/event/detail.aspx?eventId=47f6abc4-ab57-e311-af5d-001ec9e06176" </w:instrText>
                  </w:r>
                  <w:r>
                    <w:fldChar w:fldCharType="separate"/>
                  </w:r>
                  <w:r w:rsidRPr="0012773F">
                    <w:rPr>
                      <w:rFonts w:ascii="Bookman Old Style" w:hAnsi="Bookman Old Style" w:eastAsiaTheme="minorEastAsia"/>
                      <w:color w:val="FF0000"/>
                      <w:kern w:val="24"/>
                      <w:sz w:val="24"/>
                      <w:szCs w:val="32"/>
                      <w:u w:val="single"/>
                    </w:rPr>
                    <w:t xml:space="preserve">For directions, click here. </w:t>
                  </w:r>
                  <w:r>
                    <w:fldChar w:fldCharType="end"/>
                  </w:r>
                </w:p>
                <w:p w:rsidR="0012773F" w:rsidRPr="0012773F" w:rsidP="0012773F">
                  <w:pPr>
                    <w:pStyle w:val="NormalWeb"/>
                    <w:rPr>
                      <w:rFonts w:ascii="Calibri" w:hAnsi="Calibri" w:cs="Calibri"/>
                    </w:rPr>
                  </w:pPr>
                  <w:r w:rsidRPr="0012773F">
                    <w:rPr>
                      <w:rFonts w:ascii="Calibri" w:hAnsi="Calibri" w:cs="Calibri"/>
                      <w:b/>
                      <w:bCs/>
                      <w:u w:val="single"/>
                    </w:rPr>
                    <w:t>Purpose:</w:t>
                  </w:r>
                  <w:r w:rsidR="002E1AA5">
                    <w:rPr>
                      <w:rFonts w:ascii="Calibri" w:hAnsi="Calibri" w:cs="Calibri"/>
                      <w:bCs/>
                    </w:rPr>
                    <w:t xml:space="preserve"> </w:t>
                  </w:r>
                  <w:r w:rsidRPr="0012773F" w:rsidR="002E1AA5">
                    <w:rPr>
                      <w:rFonts w:ascii="Calibri" w:hAnsi="Calibri" w:cs="Calibri"/>
                    </w:rPr>
                    <w:t xml:space="preserve"> </w:t>
                  </w:r>
                  <w:r w:rsidR="00DE182F">
                    <w:rPr>
                      <w:rFonts w:ascii="Calibri" w:hAnsi="Calibri" w:cs="Calibri"/>
                      <w:noProof/>
                    </w:rPr>
                    <w:t>Upon completion</w:t>
                  </w:r>
                  <w:r w:rsidR="002E1AA5">
                    <w:rPr>
                      <w:rFonts w:ascii="Calibri" w:hAnsi="Calibri" w:cs="Calibri"/>
                    </w:rPr>
                    <w:t xml:space="preserve"> of this activity, the learner will have better cooperative interactions and improved communication and understanding of ongoing research among investigators within Avera.</w:t>
                  </w:r>
                </w:p>
                <w:p w:rsidR="006B6D30" w:rsidRPr="007F2D4F" w:rsidP="0012773F">
                  <w:pPr>
                    <w:pStyle w:val="NormalWeb"/>
                    <w:rPr>
                      <w:rFonts w:ascii="Calibri" w:hAnsi="Calibri" w:cs="Calibri"/>
                      <w:bCs/>
                      <w:noProof/>
                    </w:rPr>
                  </w:pPr>
                  <w:r w:rsidRPr="0012773F">
                    <w:rPr>
                      <w:rFonts w:ascii="Calibri" w:hAnsi="Calibri" w:cs="Calibri"/>
                      <w:b/>
                      <w:bCs/>
                      <w:u w:val="single"/>
                    </w:rPr>
                    <w:t>Objectives:</w:t>
                  </w:r>
                  <w:r w:rsidRPr="007F2D4F">
                    <w:rPr>
                      <w:rFonts w:ascii="Calibri" w:hAnsi="Calibri" w:cs="Calibri"/>
                      <w:bCs/>
                    </w:rPr>
                    <w:t xml:space="preserve"> </w:t>
                  </w:r>
                </w:p>
                <w:p w:rsidR="006B6D30" w:rsidRPr="007F2D4F" w:rsidP="0012773F">
                  <w:pPr>
                    <w:pStyle w:val="NormalWeb"/>
                    <w:rPr>
                      <w:rFonts w:ascii="Calibri" w:hAnsi="Calibri" w:cs="Calibri"/>
                      <w:bCs/>
                      <w:noProof/>
                    </w:rPr>
                  </w:pPr>
                  <w:r w:rsidRPr="007F2D4F">
                    <w:rPr>
                      <w:rFonts w:ascii="Calibri" w:hAnsi="Calibri" w:cs="Calibri"/>
                      <w:bCs/>
                      <w:noProof/>
                    </w:rPr>
                    <w:t>Objectives</w:t>
                  </w:r>
                </w:p>
                <w:p w:rsidR="006B6D30" w:rsidRPr="007F2D4F" w:rsidP="0012773F">
                  <w:pPr>
                    <w:pStyle w:val="NormalWeb"/>
                    <w:rPr>
                      <w:rFonts w:ascii="Calibri" w:hAnsi="Calibri" w:cs="Calibri"/>
                      <w:bCs/>
                    </w:rPr>
                  </w:pPr>
                </w:p>
                <w:p w:rsidR="006B6D30" w:rsidRPr="007F2D4F" w:rsidP="0012773F">
                  <w:pPr>
                    <w:pStyle w:val="NormalWeb"/>
                    <w:rPr>
                      <w:rFonts w:ascii="Calibri" w:hAnsi="Calibri" w:cs="Calibri"/>
                      <w:bCs/>
                    </w:rPr>
                  </w:pPr>
                  <w:r w:rsidRPr="007F2D4F">
                    <w:rPr>
                      <w:rFonts w:ascii="Calibri" w:hAnsi="Calibri" w:cs="Calibri"/>
                      <w:bCs/>
                    </w:rPr>
                    <w:t>1. Explain how a deeper understanding of cellular signaling pathways that are hyperactive in cancer cells can lead to the development of treatments that target cancer cells and spare normal cells</w:t>
                  </w:r>
                </w:p>
                <w:p w:rsidR="006B6D30" w:rsidRPr="007F2D4F" w:rsidP="0012773F">
                  <w:pPr>
                    <w:pStyle w:val="NormalWeb"/>
                    <w:rPr>
                      <w:rFonts w:ascii="Calibri" w:hAnsi="Calibri" w:cs="Calibri"/>
                      <w:bCs/>
                    </w:rPr>
                  </w:pPr>
                </w:p>
                <w:p w:rsidR="006B6D30" w:rsidRPr="007F2D4F" w:rsidP="0012773F">
                  <w:pPr>
                    <w:pStyle w:val="NormalWeb"/>
                    <w:rPr>
                      <w:rFonts w:ascii="Calibri" w:hAnsi="Calibri" w:cs="Calibri"/>
                      <w:bCs/>
                    </w:rPr>
                  </w:pPr>
                  <w:r w:rsidRPr="007F2D4F">
                    <w:rPr>
                      <w:rFonts w:ascii="Calibri" w:hAnsi="Calibri" w:cs="Calibri"/>
                      <w:bCs/>
                    </w:rPr>
                    <w:t>1. Explain how a deeper understanding of cellular signaling pathways that are hyperactive in cancer cells can lead to the development of treatments that target cancer cells and spare normal cells</w:t>
                  </w:r>
                </w:p>
                <w:p w:rsidR="006B6D30" w:rsidRPr="007F2D4F" w:rsidP="0012773F">
                  <w:pPr>
                    <w:pStyle w:val="NormalWeb"/>
                    <w:rPr>
                      <w:rFonts w:ascii="Calibri" w:hAnsi="Calibri" w:cs="Calibri"/>
                      <w:bCs/>
                    </w:rPr>
                  </w:pPr>
                </w:p>
                <w:p w:rsidR="0012773F" w:rsidRPr="0012773F" w:rsidP="0012773F">
                  <w:pPr>
                    <w:pStyle w:val="NormalWeb"/>
                    <w:rPr>
                      <w:rFonts w:ascii="Calibri" w:hAnsi="Calibri" w:cs="Calibri"/>
                    </w:rPr>
                  </w:pPr>
                </w:p>
                <w:p w:rsidR="0012773F" w:rsidRPr="007F2D4F" w:rsidP="0012773F">
                  <w:pPr>
                    <w:pStyle w:val="NormalWeb"/>
                    <w:rPr>
                      <w:rFonts w:ascii="Calibri" w:hAnsi="Calibri" w:cs="Calibri"/>
                    </w:rPr>
                  </w:pPr>
                  <w:r w:rsidRPr="0012773F">
                    <w:rPr>
                      <w:rFonts w:ascii="Calibri" w:hAnsi="Calibri" w:cs="Calibri"/>
                      <w:b/>
                      <w:bCs/>
                      <w:u w:val="single"/>
                    </w:rPr>
                    <w:t>Target Audience:</w:t>
                  </w:r>
                  <w:r w:rsidR="007F2D4F">
                    <w:rPr>
                      <w:rFonts w:ascii="Calibri" w:hAnsi="Calibri" w:cs="Calibri"/>
                      <w:bCs/>
                    </w:rPr>
                    <w:t xml:space="preserve"> </w:t>
                  </w:r>
                  <w:r w:rsidR="007F2D4F">
                    <w:rPr>
                      <w:rFonts w:ascii="Calibri" w:hAnsi="Calibri" w:cs="Calibri"/>
                      <w:bCs/>
                      <w:noProof/>
                    </w:rPr>
                    <w:t xml:space="preserve">Research, </w:t>
                  </w:r>
                  <w:r w:rsidR="007F2D4F">
                    <w:rPr>
                      <w:rFonts w:ascii="Calibri" w:hAnsi="Calibri" w:cs="Calibri"/>
                      <w:bCs/>
                    </w:rPr>
                    <w:t>Hematology, Genetics, Oncology, Other</w:t>
                  </w:r>
                </w:p>
                <w:p w:rsidR="0012773F" w:rsidRPr="0012773F" w:rsidP="0012773F">
                  <w:pPr>
                    <w:pStyle w:val="NormalWeb"/>
                    <w:rPr>
                      <w:rFonts w:ascii="Calibri" w:hAnsi="Calibri" w:cs="Calibri"/>
                    </w:rPr>
                  </w:pPr>
                  <w:r w:rsidRPr="0012773F">
                    <w:rPr>
                      <w:rFonts w:ascii="Calibri" w:hAnsi="Calibri" w:cs="Calibri"/>
                      <w:b/>
                      <w:bCs/>
                      <w:u w:val="single"/>
                    </w:rPr>
                    <w:t>For successful completion:</w:t>
                  </w:r>
                </w:p>
                <w:p w:rsidR="00A910E7" w:rsidRPr="0012773F" w:rsidP="0012773F">
                  <w:pPr>
                    <w:pStyle w:val="NormalWeb"/>
                    <w:numPr>
                      <w:ilvl w:val="1"/>
                      <w:numId w:val="1"/>
                    </w:numPr>
                    <w:rPr>
                      <w:rFonts w:ascii="Calibri" w:hAnsi="Calibri" w:cs="Calibri"/>
                    </w:rPr>
                  </w:pPr>
                  <w:r w:rsidRPr="0012773F">
                    <w:rPr>
                      <w:rFonts w:ascii="Calibri" w:hAnsi="Calibri" w:cs="Calibri"/>
                    </w:rPr>
                    <w:t xml:space="preserve">To record attendance and obtain CE credit, you must have an Avera CE Portal Profile. </w:t>
                  </w:r>
                </w:p>
                <w:p w:rsidR="0012773F" w:rsidP="0012773F">
                  <w:pPr>
                    <w:pStyle w:val="NormalWeb"/>
                    <w:numPr>
                      <w:ilvl w:val="1"/>
                      <w:numId w:val="1"/>
                    </w:numPr>
                    <w:rPr>
                      <w:rFonts w:ascii="Calibri" w:hAnsi="Calibri" w:cs="Calibri"/>
                    </w:rPr>
                  </w:pPr>
                  <w:r w:rsidRPr="0012773F">
                    <w:rPr>
                      <w:rFonts w:ascii="Calibri" w:hAnsi="Calibri" w:cs="Calibri"/>
                    </w:rPr>
                    <w:t>You must bring your mobile phone: Attendance will be recorded via text message.</w:t>
                  </w:r>
                </w:p>
                <w:p w:rsidR="00A910E7" w:rsidRPr="0012773F" w:rsidP="0012773F">
                  <w:pPr>
                    <w:pStyle w:val="NormalWeb"/>
                    <w:numPr>
                      <w:ilvl w:val="1"/>
                      <w:numId w:val="1"/>
                    </w:numPr>
                    <w:rPr>
                      <w:rFonts w:ascii="Calibri" w:hAnsi="Calibri" w:cs="Calibri"/>
                    </w:rPr>
                  </w:pPr>
                  <w:r w:rsidRPr="0012773F">
                    <w:rPr>
                      <w:rFonts w:ascii="Calibri" w:hAnsi="Calibri" w:cs="Calibri"/>
                    </w:rPr>
                    <w:t>To receive a CE certificate, you must log in to your Avera CE Portal Profile after the educational activity and complete the evaluation.</w:t>
                  </w:r>
                  <w:r w:rsidR="0059493A">
                    <w:rPr>
                      <w:rFonts w:ascii="Calibri" w:hAnsi="Calibri" w:cs="Calibri"/>
                    </w:rPr>
                    <w:br/>
                  </w:r>
                </w:p>
                <w:p w:rsidR="0012773F" w:rsidP="0012773F">
                  <w:pPr>
                    <w:spacing w:after="0" w:line="240" w:lineRule="auto"/>
                    <w:rPr>
                      <w:rFonts w:hAnsi="Calibri" w:eastAsiaTheme="minorEastAsia"/>
                      <w:color w:val="000000" w:themeColor="text1"/>
                      <w:kern w:val="24"/>
                      <w:sz w:val="18"/>
                      <w:szCs w:val="18"/>
                    </w:rPr>
                  </w:pPr>
                  <w:r w:rsidRPr="0012773F">
                    <w:rPr>
                      <w:rFonts w:hAnsi="Calibri" w:eastAsiaTheme="minorEastAsia"/>
                      <w:color w:val="000000" w:themeColor="text1"/>
                      <w:kern w:val="24"/>
                      <w:sz w:val="18"/>
                      <w:szCs w:val="18"/>
                    </w:rPr>
                    <w:t xml:space="preserve">Avera is accredited by the Accreditation Council for Continuing Medical Education to provide continuing education for physicians. Avera designates this educational activity for a maximum of </w:t>
                  </w:r>
                  <w:r w:rsidR="00DE182F">
                    <w:rPr>
                      <w:rFonts w:hAnsi="Calibri" w:eastAsiaTheme="minorEastAsia"/>
                      <w:noProof/>
                      <w:color w:val="FF0000"/>
                      <w:kern w:val="24"/>
                      <w:sz w:val="18"/>
                      <w:szCs w:val="18"/>
                      <w:u w:val="single"/>
                    </w:rPr>
                    <w:t>1.00</w:t>
                  </w:r>
                  <w:r w:rsidRPr="002E1AA5">
                    <w:rPr>
                      <w:rFonts w:hAnsi="Calibri" w:eastAsiaTheme="minorEastAsia"/>
                      <w:color w:val="000000" w:themeColor="text1"/>
                      <w:kern w:val="24"/>
                      <w:sz w:val="18"/>
                      <w:szCs w:val="18"/>
                    </w:rPr>
                    <w:t xml:space="preserve"> </w:t>
                  </w:r>
                  <w:r w:rsidRPr="0012773F">
                    <w:rPr>
                      <w:rFonts w:hAnsi="Calibri" w:eastAsiaTheme="minorEastAsia"/>
                      <w:color w:val="000000" w:themeColor="text1"/>
                      <w:kern w:val="24"/>
                      <w:sz w:val="18"/>
                      <w:szCs w:val="18"/>
                    </w:rPr>
                    <w:t>AMA PR</w:t>
                  </w:r>
                  <w:r w:rsidR="0078042E">
                    <w:rPr>
                      <w:rFonts w:hAnsi="Calibri" w:eastAsiaTheme="minorEastAsia"/>
                      <w:color w:val="000000" w:themeColor="text1"/>
                      <w:kern w:val="24"/>
                      <w:sz w:val="18"/>
                      <w:szCs w:val="18"/>
                    </w:rPr>
                    <w:t>A Category 1 Credit per session</w:t>
                  </w:r>
                  <w:r w:rsidRPr="0012773F">
                    <w:rPr>
                      <w:rFonts w:hAnsi="Calibri" w:eastAsiaTheme="minorEastAsia"/>
                      <w:color w:val="000000" w:themeColor="text1"/>
                      <w:kern w:val="24"/>
                      <w:sz w:val="18"/>
                      <w:szCs w:val="18"/>
                    </w:rPr>
                    <w:t xml:space="preserve">. Physicians should only claim credit commensurate with the extent of their participation in the activity. </w:t>
                  </w:r>
                </w:p>
                <w:p w:rsidR="0012773F" w:rsidRPr="0012773F" w:rsidP="0012773F">
                  <w:pPr>
                    <w:spacing w:after="0" w:line="240" w:lineRule="auto"/>
                    <w:rPr>
                      <w:rFonts w:ascii="Times New Roman" w:eastAsia="Times New Roman" w:hAnsi="Times New Roman" w:cs="Times New Roman"/>
                      <w:sz w:val="24"/>
                      <w:szCs w:val="24"/>
                    </w:rPr>
                  </w:pPr>
                </w:p>
                <w:p w:rsidR="003277ED" w:rsidRPr="003277ED" w:rsidP="003277ED">
                  <w:pPr>
                    <w:spacing w:after="0" w:line="240" w:lineRule="auto"/>
                    <w:rPr>
                      <w:rFonts w:hAnsi="Calibri" w:eastAsiaTheme="minorEastAsia"/>
                      <w:color w:val="000000" w:themeColor="text1"/>
                      <w:kern w:val="24"/>
                      <w:sz w:val="18"/>
                      <w:szCs w:val="18"/>
                    </w:rPr>
                  </w:pPr>
                  <w:r w:rsidRPr="003277ED">
                    <w:rPr>
                      <w:rFonts w:hAnsi="Calibri" w:eastAsiaTheme="minorEastAsia"/>
                      <w:color w:val="000000" w:themeColor="text1"/>
                      <w:kern w:val="24"/>
                      <w:sz w:val="18"/>
                      <w:szCs w:val="18"/>
                    </w:rPr>
                    <w:t xml:space="preserve">Avera is an Approved Provider of continuing nursing education by the Alabama State Nurses Association, an accredited approver by the American Nurses Credentialing Center’s Commission on Accreditation. A total </w:t>
                  </w:r>
                  <w:r w:rsidRPr="003277ED">
                    <w:rPr>
                      <w:rFonts w:hAnsi="Calibri" w:eastAsiaTheme="minorEastAsia"/>
                      <w:color w:val="FF0000"/>
                      <w:kern w:val="24"/>
                      <w:sz w:val="18"/>
                      <w:szCs w:val="18"/>
                      <w:u w:val="single"/>
                    </w:rPr>
                    <w:t>0.00</w:t>
                  </w:r>
                  <w:r w:rsidRPr="003277ED">
                    <w:rPr>
                      <w:rFonts w:hAnsi="Calibri" w:eastAsiaTheme="minorEastAsia"/>
                      <w:color w:val="FF0000"/>
                      <w:kern w:val="24"/>
                      <w:sz w:val="18"/>
                      <w:szCs w:val="18"/>
                    </w:rPr>
                    <w:t xml:space="preserve"> </w:t>
                  </w:r>
                  <w:r w:rsidRPr="003277ED">
                    <w:rPr>
                      <w:rFonts w:hAnsi="Calibri" w:eastAsiaTheme="minorEastAsia"/>
                      <w:color w:val="000000" w:themeColor="text1"/>
                      <w:kern w:val="24"/>
                      <w:sz w:val="18"/>
                      <w:szCs w:val="18"/>
                    </w:rPr>
                    <w:t>contact hours can be received upon completion of this activity. Attendance at the entire educational activity is required to receive contact hours.</w:t>
                  </w:r>
                </w:p>
                <w:p w:rsidR="0093151B" w:rsidP="0012773F">
                  <w:pPr>
                    <w:spacing w:after="0" w:line="240" w:lineRule="auto"/>
                    <w:rPr>
                      <w:rFonts w:hAnsi="Calibri" w:eastAsiaTheme="minorEastAsia"/>
                      <w:color w:val="000000" w:themeColor="text1"/>
                      <w:kern w:val="24"/>
                      <w:sz w:val="18"/>
                      <w:szCs w:val="18"/>
                    </w:rPr>
                  </w:pPr>
                </w:p>
                <w:p w:rsidR="0093151B" w:rsidRPr="0093151B" w:rsidP="0093151B">
                  <w:pPr>
                    <w:spacing w:after="0" w:line="240" w:lineRule="auto"/>
                    <w:rPr>
                      <w:rFonts w:hAnsi="Calibri" w:eastAsiaTheme="minorEastAsia"/>
                      <w:color w:val="000000" w:themeColor="text1"/>
                      <w:kern w:val="24"/>
                      <w:sz w:val="18"/>
                      <w:szCs w:val="18"/>
                    </w:rPr>
                  </w:pPr>
                  <w:r w:rsidRPr="0093151B">
                    <w:rPr>
                      <w:rFonts w:hAnsi="Calibri" w:eastAsiaTheme="minorEastAsia"/>
                      <w:color w:val="000000" w:themeColor="text1"/>
                      <w:kern w:val="24"/>
                      <w:sz w:val="18"/>
                      <w:szCs w:val="18"/>
                    </w:rPr>
                    <w:t>Policy on Disclosure: Continuing Education credits have been approved for this event.  Due to the regulations required for CE credits all conflict of interest that the presenter(s) or planning committee members have needs to be fully disclosed to participants.  In observance to</w:t>
                  </w:r>
                  <w:r>
                    <w:rPr>
                      <w:rFonts w:hAnsi="Calibri" w:eastAsiaTheme="minorEastAsia"/>
                      <w:color w:val="000000" w:themeColor="text1"/>
                      <w:kern w:val="24"/>
                      <w:sz w:val="18"/>
                      <w:szCs w:val="18"/>
                    </w:rPr>
                    <w:t xml:space="preserve"> this requirement we are providing the following disclosure </w:t>
                  </w:r>
                  <w:r w:rsidR="00B82BE6">
                    <w:rPr>
                      <w:rFonts w:hAnsi="Calibri" w:eastAsiaTheme="minorEastAsia"/>
                      <w:color w:val="000000" w:themeColor="text1"/>
                      <w:kern w:val="24"/>
                      <w:sz w:val="18"/>
                      <w:szCs w:val="18"/>
                    </w:rPr>
                    <w:t>information:</w:t>
                  </w:r>
                </w:p>
                <w:p w:rsidR="0093151B" w:rsidP="0012773F">
                  <w:pPr>
                    <w:spacing w:after="0" w:line="240" w:lineRule="auto"/>
                    <w:rPr>
                      <w:rFonts w:hAnsi="Calibri" w:eastAsiaTheme="minorEastAsia"/>
                      <w:color w:val="000000" w:themeColor="text1"/>
                      <w:kern w:val="24"/>
                      <w:sz w:val="18"/>
                      <w:szCs w:val="18"/>
                    </w:rPr>
                  </w:pPr>
                </w:p>
                <w:p w:rsidR="0093151B"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Jyoti  Angal, MPH: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Carla  Borchardt, DNP, RN, NE-BC: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Pradip  De, PhD: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Nandini  Dey, PhD: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Erik A Ehli, PhD: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Amy  Elliott, PhD: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Tamera J Larsen-Engelkes, MSN, RN, NE-BC: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Tobias  Meissner, PhD: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David  Starks, MD: Nothing to disclose</w:t>
                  </w:r>
                </w:p>
                <w:p w:rsidP="0012773F">
                  <w:pPr>
                    <w:spacing w:after="0" w:line="240" w:lineRule="auto"/>
                    <w:rPr>
                      <w:rFonts w:hAnsi="Calibri" w:eastAsiaTheme="minorEastAsia"/>
                      <w:color w:val="000000" w:themeColor="text1"/>
                      <w:kern w:val="24"/>
                      <w:sz w:val="18"/>
                      <w:szCs w:val="18"/>
                    </w:rPr>
                  </w:pPr>
                  <w:r>
                    <w:rPr>
                      <w:rFonts w:hAnsi="Calibri" w:eastAsiaTheme="minorEastAsia"/>
                      <w:color w:val="000000" w:themeColor="text1"/>
                      <w:kern w:val="24"/>
                      <w:sz w:val="18"/>
                      <w:szCs w:val="18"/>
                    </w:rPr>
                    <w:t>Kirstin  Williams, PhD: Nothing to disclose</w:t>
                  </w:r>
                </w:p>
                <w:p w:rsidR="0093151B" w:rsidP="0012773F">
                  <w:pPr>
                    <w:spacing w:after="0" w:line="240" w:lineRule="auto"/>
                    <w:rPr>
                      <w:rFonts w:hAnsi="Calibri" w:eastAsiaTheme="minorEastAsia"/>
                      <w:color w:val="000000" w:themeColor="text1"/>
                      <w:kern w:val="24"/>
                      <w:sz w:val="18"/>
                      <w:szCs w:val="18"/>
                    </w:rPr>
                  </w:pPr>
                  <w:r w:rsidR="00DE182F">
                    <w:rPr>
                      <w:rFonts w:hAnsi="Calibri" w:eastAsiaTheme="minorEastAsia"/>
                      <w:color w:val="000000" w:themeColor="text1"/>
                      <w:kern w:val="24"/>
                      <w:sz w:val="18"/>
                      <w:szCs w:val="18"/>
                    </w:rPr>
                    <w:t xml:space="preserve"> </w:t>
                  </w:r>
                </w:p>
                <w:p w:rsidR="0093151B" w:rsidP="0012773F">
                  <w:pPr>
                    <w:spacing w:after="0" w:line="240" w:lineRule="auto"/>
                    <w:rPr>
                      <w:rFonts w:hAnsi="Calibri" w:eastAsiaTheme="minorEastAsia"/>
                      <w:color w:val="000000" w:themeColor="text1"/>
                      <w:kern w:val="24"/>
                      <w:sz w:val="18"/>
                      <w:szCs w:val="18"/>
                    </w:rPr>
                  </w:pPr>
                </w:p>
                <w:p w:rsidR="0093151B" w:rsidRPr="0012773F" w:rsidP="0012773F">
                  <w:pPr>
                    <w:spacing w:after="0" w:line="240" w:lineRule="auto"/>
                    <w:rPr>
                      <w:rFonts w:ascii="Times New Roman" w:eastAsia="Times New Roman" w:hAnsi="Times New Roman" w:cs="Times New Roman"/>
                      <w:sz w:val="24"/>
                      <w:szCs w:val="24"/>
                    </w:rPr>
                  </w:pPr>
                </w:p>
                <w:p w:rsidR="0012773F"/>
                <w:p w:rsidR="0012773F" w:rsidP="0012773F">
                  <w:pPr>
                    <w:jc w:val="right"/>
                  </w:pPr>
                </w:p>
                <w:p w:rsidR="0012773F">
                  <w:r>
                    <w:tab/>
                  </w:r>
                  <w:r>
                    <w:tab/>
                  </w:r>
                  <w:r>
                    <w:tab/>
                  </w:r>
                  <w:r>
                    <w:tab/>
                  </w:r>
                  <w:r>
                    <w:tab/>
                  </w:r>
                  <w:r>
                    <w:tab/>
                  </w:r>
                  <w:r>
                    <w:tab/>
                  </w:r>
                </w:p>
              </w:txbxContent>
            </v:textbox>
          </v:shape>
        </w:pict>
      </w:r>
    </w:p>
    <w:sectPr w:rsidSect="0093151B">
      <w:headerReference w:type="default" r:id="rId4"/>
      <w:footerReference w:type="default" r:id="rId5"/>
      <w:pgSz w:w="12240" w:h="15840"/>
      <w:pgMar w:top="0" w:right="0" w:bottom="0" w:left="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151B">
    <w:pPr>
      <w:pStyle w:val="Footer"/>
    </w:pPr>
    <w:r>
      <w:rPr>
        <w:noProof/>
      </w:rPr>
      <w:drawing>
        <wp:inline distT="0" distB="0" distL="0" distR="0">
          <wp:extent cx="2944905" cy="1134653"/>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ouncement footer.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049834" cy="1175081"/>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151B">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-17930</wp:posOffset>
              </wp:positionH>
              <wp:positionV relativeFrom="paragraph">
                <wp:posOffset>-448235</wp:posOffset>
              </wp:positionV>
              <wp:extent cx="8108576" cy="476655"/>
              <wp:effectExtent l="0" t="0" r="26035"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108576" cy="476655"/>
                      </a:xfrm>
                      <a:prstGeom prst="rect">
                        <a:avLst/>
                      </a:prstGeom>
                      <a:solidFill>
                        <a:srgbClr val="3D1C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2049" style="height:37.55pt;margin-left:-1.4pt;margin-top:-35.3pt;mso-height-percent:0;mso-height-relative:margin;mso-width-percent:0;mso-width-relative:margin;mso-wrap-distance-bottom:0;mso-wrap-distance-left:9pt;mso-wrap-distance-right:9pt;mso-wrap-distance-top:0;mso-wrap-style:square;position:absolute;v-text-anchor:middle;visibility:visible;width:638.45pt;z-index:251659264" fillcolor="#3d1c58" strokecolor="#1f4d78"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785"/>
    <w:pPr>
      <w:spacing w:before="100" w:beforeAutospacing="1" w:after="100" w:afterAutospacing="1" w:line="240" w:lineRule="auto"/>
    </w:pPr>
    <w:rPr>
      <w:rFonts w:ascii="Times New Roman" w:hAnsi="Times New Roman" w:eastAsiaTheme="minorEastAsia" w:cs="Times New Roman"/>
      <w:sz w:val="24"/>
      <w:szCs w:val="24"/>
    </w:rPr>
  </w:style>
  <w:style w:type="character" w:styleId="Hyperlink">
    <w:name w:val="Hyperlink"/>
    <w:basedOn w:val="DefaultParagraphFont"/>
    <w:uiPriority w:val="99"/>
    <w:semiHidden/>
    <w:unhideWhenUsed/>
    <w:rsid w:val="00900785"/>
    <w:rPr>
      <w:color w:val="0000FF"/>
      <w:u w:val="single"/>
    </w:rPr>
  </w:style>
  <w:style w:type="paragraph" w:styleId="Header">
    <w:name w:val="header"/>
    <w:basedOn w:val="Normal"/>
    <w:link w:val="HeaderChar"/>
    <w:uiPriority w:val="99"/>
    <w:unhideWhenUsed/>
    <w:rsid w:val="006B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30"/>
  </w:style>
  <w:style w:type="paragraph" w:styleId="Footer">
    <w:name w:val="footer"/>
    <w:basedOn w:val="Normal"/>
    <w:link w:val="FooterChar"/>
    <w:uiPriority w:val="99"/>
    <w:unhideWhenUsed/>
    <w:rsid w:val="006B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Plucker</dc:creator>
  <cp:lastModifiedBy>donna kuhlman</cp:lastModifiedBy>
  <cp:revision>9</cp:revision>
  <dcterms:created xsi:type="dcterms:W3CDTF">2018-06-07T17:20:00Z</dcterms:created>
  <dcterms:modified xsi:type="dcterms:W3CDTF">2018-06-15T19:24:00Z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-104044214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[CloudCME Support] Re: Avera - Switch the template document used for creating brochures in the Portal</vt:lpwstr>
  </property>
  <property fmtid="{D5CDD505-2E9C-101B-9397-08002B2CF9AE}" pid="6" name="_NewReviewCycle">
    <vt:lpwstr/>
  </property>
  <property fmtid="{D5CDD505-2E9C-101B-9397-08002B2CF9AE}" pid="7" name="_ReviewingToolsShownOnce">
    <vt:lpwstr/>
  </property>
</Properties>
</file>