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EMS Infectious</w:t>
                  </w:r>
                  <w:r>
                    <w:rPr>
                      <w:rFonts w:ascii="Calibri" w:hAnsi="Calibri" w:cs="Calibri"/>
                      <w:sz w:val="48"/>
                      <w:szCs w:val="48"/>
                    </w:rPr>
                    <w:t xml:space="preserve"> Disease Playbook: Risk-Based PPE Usage For EMS and Nurses (Enduring Material)</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10/27</w:t>
                  </w:r>
                  <w:r>
                    <w:rPr>
                      <w:rFonts w:ascii="Calibri" w:hAnsi="Calibri" w:cs="Calibri"/>
                      <w:sz w:val="36"/>
                      <w:szCs w:val="36"/>
                    </w:rPr>
                    <w:t>/2018 12:00:00 PM</w:t>
                  </w:r>
                  <w:r w:rsidRPr="0078042E" w:rsidR="00900785">
                    <w:rPr>
                      <w:rFonts w:ascii="Calibri" w:hAnsi="Calibri" w:cs="Calibri"/>
                      <w:sz w:val="36"/>
                      <w:szCs w:val="36"/>
                    </w:rPr>
                    <w:t>-</w:t>
                  </w:r>
                  <w:r w:rsidR="00DE182F">
                    <w:rPr>
                      <w:rFonts w:ascii="Calibri" w:hAnsi="Calibri" w:cs="Calibri"/>
                      <w:noProof/>
                      <w:sz w:val="36"/>
                      <w:szCs w:val="36"/>
                    </w:rPr>
                    <w:t>10/31</w:t>
                  </w:r>
                  <w:r w:rsidR="00DE182F">
                    <w:rPr>
                      <w:rFonts w:ascii="Calibri" w:hAnsi="Calibri" w:cs="Calibri"/>
                      <w:sz w:val="36"/>
                      <w:szCs w:val="36"/>
                    </w:rPr>
                    <w:t>/2019 12:00:00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Avera CE</w:t>
                  </w:r>
                  <w:r>
                    <w:rPr>
                      <w:rFonts w:ascii="Calibri" w:hAnsi="Calibri" w:eastAsiaTheme="minorEastAsia" w:cs="Calibri"/>
                      <w:sz w:val="36"/>
                      <w:szCs w:val="36"/>
                    </w:rPr>
                    <w:t xml:space="preserve"> Portal</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Upon completion</w:t>
                  </w:r>
                  <w:r w:rsidR="002E1AA5">
                    <w:rPr>
                      <w:rFonts w:ascii="Calibri" w:hAnsi="Calibri" w:cs="Calibri"/>
                    </w:rPr>
                    <w:t xml:space="preserve"> of this activity, the learner will understand the importance of using personal protective equipment and the when to use PPE : When, why and how</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PPE needs based on disease transmission risk categories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Name common contact, droplet and airborne spread diseases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Identify the difference between a surgical mask and a respirator</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Describe proper PPE donning and doffing procedures</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Emergency Medicine</w:t>
                  </w:r>
                  <w:r w:rsidR="007F2D4F">
                    <w:rPr>
                      <w:rFonts w:ascii="Calibri" w:hAnsi="Calibri" w:cs="Calibri"/>
                      <w:bCs/>
                    </w:rPr>
                    <w:t>, Family Medicine, Other, Paramedic</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Mike  Deitschman, MPH: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donna kuhlman</cp:lastModifiedBy>
  <cp:revision>9</cp:revision>
  <dcterms:created xsi:type="dcterms:W3CDTF">2018-06-07T17:20:00Z</dcterms:created>
  <dcterms:modified xsi:type="dcterms:W3CDTF">2018-06-15T19:24:00Z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