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
        <w:tblpPr w:leftFromText="180" w:rightFromText="180" w:vertAnchor="page" w:horzAnchor="margin" w:tblpY="1381"/>
        <w:tblW w:w="0" w:type="auto"/>
        <w:tblLook w:val="04A0" w:firstRow="1" w:lastRow="0" w:firstColumn="1" w:lastColumn="0" w:noHBand="0" w:noVBand="1"/>
      </w:tblPr>
      <w:tblGrid>
        <w:gridCol w:w="9350"/>
      </w:tblGrid>
      <w:tr w:rsidR="00BA6815" w:rsidRPr="00BA6815" w:rsidTr="00323D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rsidR="00BA6815" w:rsidRPr="00323D79" w:rsidRDefault="0042628C" w:rsidP="0088425F">
            <w:pPr>
              <w:spacing w:after="160" w:line="259" w:lineRule="auto"/>
              <w:jc w:val="center"/>
              <w:rPr>
                <w:rFonts w:eastAsia="Times New Roman" w:cstheme="minorHAnsi"/>
                <w:i/>
                <w:color w:val="000000"/>
                <w:sz w:val="28"/>
                <w:szCs w:val="18"/>
              </w:rPr>
            </w:pPr>
            <w:r w:rsidRPr="00323D79">
              <w:rPr>
                <w:rFonts w:eastAsia="Times New Roman" w:cstheme="minorHAnsi"/>
                <w:i/>
                <w:color w:val="000000"/>
                <w:sz w:val="28"/>
                <w:szCs w:val="18"/>
              </w:rPr>
              <w:t>Incorporat</w:t>
            </w:r>
            <w:r w:rsidR="00316B29">
              <w:rPr>
                <w:rFonts w:eastAsia="Times New Roman" w:cstheme="minorHAnsi"/>
                <w:i/>
                <w:color w:val="000000"/>
                <w:sz w:val="28"/>
                <w:szCs w:val="18"/>
              </w:rPr>
              <w:t>ing Competencies into your Continuing</w:t>
            </w:r>
            <w:bookmarkStart w:id="0" w:name="_GoBack"/>
            <w:bookmarkEnd w:id="0"/>
            <w:r w:rsidR="00316B29">
              <w:rPr>
                <w:rFonts w:eastAsia="Times New Roman" w:cstheme="minorHAnsi"/>
                <w:i/>
                <w:color w:val="000000"/>
                <w:sz w:val="28"/>
                <w:szCs w:val="18"/>
              </w:rPr>
              <w:t xml:space="preserve"> Education </w:t>
            </w:r>
            <w:r w:rsidRPr="00323D79">
              <w:rPr>
                <w:rFonts w:eastAsia="Times New Roman" w:cstheme="minorHAnsi"/>
                <w:i/>
                <w:color w:val="000000"/>
                <w:sz w:val="28"/>
                <w:szCs w:val="18"/>
              </w:rPr>
              <w:t>Activity</w:t>
            </w:r>
          </w:p>
          <w:p w:rsidR="00BA6815" w:rsidRPr="00BA6815" w:rsidRDefault="0088425F" w:rsidP="00323D79">
            <w:pPr>
              <w:spacing w:after="160" w:line="259" w:lineRule="auto"/>
              <w:rPr>
                <w:rFonts w:eastAsia="Times New Roman" w:cstheme="minorHAnsi"/>
                <w:i/>
                <w:color w:val="000000"/>
                <w:sz w:val="18"/>
                <w:szCs w:val="18"/>
              </w:rPr>
            </w:pPr>
            <w:r w:rsidRPr="00323D79">
              <w:rPr>
                <w:rFonts w:eastAsia="Times New Roman" w:cstheme="minorHAnsi"/>
                <w:i/>
                <w:color w:val="000000"/>
                <w:sz w:val="20"/>
                <w:szCs w:val="18"/>
              </w:rPr>
              <w:t xml:space="preserve">Use the below information as a guide to assist in helping you build and design your content for your activity.  </w:t>
            </w:r>
            <w:r w:rsidRPr="00323D79">
              <w:rPr>
                <w:rFonts w:eastAsia="Times New Roman" w:cstheme="minorHAnsi"/>
                <w:i/>
                <w:color w:val="000000"/>
                <w:sz w:val="20"/>
                <w:szCs w:val="18"/>
              </w:rPr>
              <w:br/>
              <w:t xml:space="preserve">*Note: If </w:t>
            </w:r>
            <w:r w:rsidRPr="00323D79">
              <w:rPr>
                <w:rFonts w:cstheme="minorHAnsi"/>
                <w:bCs w:val="0"/>
                <w:i/>
                <w:iCs/>
                <w:sz w:val="20"/>
              </w:rPr>
              <w:t xml:space="preserve">it is an IPCE activity, </w:t>
            </w:r>
            <w:r w:rsidR="0042628C" w:rsidRPr="00323D79">
              <w:rPr>
                <w:rFonts w:cstheme="minorHAnsi"/>
                <w:bCs w:val="0"/>
                <w:i/>
                <w:iCs/>
                <w:sz w:val="20"/>
              </w:rPr>
              <w:t xml:space="preserve">activity development should address competencies of the healthcare team </w:t>
            </w:r>
            <w:r w:rsidR="00323D79" w:rsidRPr="00323D79">
              <w:rPr>
                <w:rFonts w:cstheme="minorHAnsi"/>
                <w:bCs w:val="0"/>
                <w:i/>
                <w:iCs/>
                <w:sz w:val="20"/>
              </w:rPr>
              <w:t>by utilizing 1 or more of Interprofessional Education Collaborative competencies (see below)</w:t>
            </w:r>
          </w:p>
        </w:tc>
      </w:tr>
      <w:tr w:rsidR="00323D79" w:rsidRPr="00BA6815" w:rsidTr="00323D79">
        <w:tc>
          <w:tcPr>
            <w:cnfStyle w:val="001000000000" w:firstRow="0" w:lastRow="0" w:firstColumn="1" w:lastColumn="0" w:oddVBand="0" w:evenVBand="0" w:oddHBand="0" w:evenHBand="0" w:firstRowFirstColumn="0" w:firstRowLastColumn="0" w:lastRowFirstColumn="0" w:lastRowLastColumn="0"/>
            <w:tcW w:w="9350" w:type="dxa"/>
            <w:tcBorders>
              <w:top w:val="single" w:sz="12" w:space="0" w:color="666666" w:themeColor="text1" w:themeTint="99"/>
              <w:left w:val="nil"/>
              <w:right w:val="nil"/>
            </w:tcBorders>
            <w:shd w:val="clear" w:color="auto" w:fill="auto"/>
          </w:tcPr>
          <w:p w:rsidR="00323D79" w:rsidRPr="00323D79" w:rsidRDefault="00323D79" w:rsidP="0088425F">
            <w:pPr>
              <w:jc w:val="center"/>
              <w:rPr>
                <w:rFonts w:eastAsia="Times New Roman" w:cstheme="minorHAnsi"/>
                <w:i/>
                <w:color w:val="000000"/>
                <w:sz w:val="28"/>
                <w:szCs w:val="18"/>
              </w:rPr>
            </w:pPr>
          </w:p>
        </w:tc>
      </w:tr>
      <w:tr w:rsidR="00BA6815" w:rsidRPr="00BA6815" w:rsidTr="00323D79">
        <w:trPr>
          <w:trHeight w:val="412"/>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rsidR="00BA6815" w:rsidRPr="00323D79" w:rsidRDefault="00323D79" w:rsidP="00BA6815">
            <w:pPr>
              <w:rPr>
                <w:rFonts w:eastAsia="Times New Roman" w:cstheme="minorHAnsi"/>
                <w:i/>
                <w:color w:val="000000"/>
                <w:sz w:val="24"/>
                <w:szCs w:val="18"/>
              </w:rPr>
            </w:pPr>
            <w:r w:rsidRPr="00323D79">
              <w:rPr>
                <w:rFonts w:eastAsia="Times New Roman" w:cstheme="minorHAnsi"/>
                <w:i/>
                <w:color w:val="000000"/>
                <w:sz w:val="24"/>
                <w:szCs w:val="18"/>
              </w:rPr>
              <w:t>ABMS/ACGME</w:t>
            </w:r>
          </w:p>
          <w:p w:rsidR="004B0CB2" w:rsidRPr="00BA6815" w:rsidRDefault="004B0CB2" w:rsidP="00BA6815">
            <w:pPr>
              <w:rPr>
                <w:rFonts w:eastAsia="Times New Roman" w:cstheme="minorHAnsi"/>
                <w:b w:val="0"/>
                <w:i/>
                <w:color w:val="000000"/>
                <w:sz w:val="18"/>
                <w:szCs w:val="18"/>
              </w:rPr>
            </w:pPr>
          </w:p>
        </w:tc>
      </w:tr>
      <w:tr w:rsidR="00BA6815" w:rsidRPr="00BA6815" w:rsidTr="00323D7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BA6815" w:rsidRPr="00323D79" w:rsidRDefault="00BA6815" w:rsidP="001E1A91">
            <w:pPr>
              <w:spacing w:after="160" w:line="259" w:lineRule="auto"/>
              <w:rPr>
                <w:rFonts w:eastAsia="Times New Roman" w:cstheme="minorHAnsi"/>
                <w:b w:val="0"/>
                <w:color w:val="000000"/>
                <w:sz w:val="20"/>
                <w:szCs w:val="18"/>
              </w:rPr>
            </w:pPr>
            <w:r w:rsidRPr="00323D79">
              <w:rPr>
                <w:rFonts w:eastAsia="Times New Roman" w:cstheme="minorHAnsi"/>
                <w:color w:val="000000"/>
                <w:sz w:val="20"/>
                <w:szCs w:val="18"/>
              </w:rPr>
              <w:t>Patient Care or Procedural Skills</w:t>
            </w:r>
            <w:r w:rsidR="001E1A91" w:rsidRPr="00323D79">
              <w:rPr>
                <w:rFonts w:eastAsia="Times New Roman" w:cstheme="minorHAnsi"/>
                <w:color w:val="000000"/>
                <w:sz w:val="20"/>
                <w:szCs w:val="18"/>
              </w:rPr>
              <w:t xml:space="preserve">: </w:t>
            </w:r>
            <w:r w:rsidR="001E1A91" w:rsidRPr="00323D79">
              <w:rPr>
                <w:rFonts w:eastAsia="Times New Roman" w:cstheme="minorHAnsi"/>
                <w:b w:val="0"/>
                <w:color w:val="000000"/>
                <w:sz w:val="20"/>
                <w:szCs w:val="18"/>
              </w:rPr>
              <w:t>Use of clinical skills and ability to provide care and promote health in an appropriate manner that incorporates evidence-based medical practice, demonstrates good clinical judgment, and fosters patient-centered decision-making</w:t>
            </w:r>
          </w:p>
          <w:p w:rsidR="0088425F" w:rsidRPr="00323D79" w:rsidRDefault="0088425F" w:rsidP="001E1A91">
            <w:pPr>
              <w:spacing w:after="160" w:line="259" w:lineRule="auto"/>
              <w:rPr>
                <w:rFonts w:eastAsia="Times New Roman" w:cstheme="minorHAnsi"/>
                <w:b w:val="0"/>
                <w:color w:val="000000"/>
                <w:sz w:val="20"/>
              </w:rPr>
            </w:pPr>
            <w:r w:rsidRPr="00323D79">
              <w:rPr>
                <w:rFonts w:eastAsia="Times New Roman" w:cstheme="minorHAnsi"/>
                <w:b w:val="0"/>
                <w:color w:val="000000"/>
                <w:sz w:val="20"/>
              </w:rPr>
              <w:t>Common Assessment methods:</w:t>
            </w:r>
          </w:p>
          <w:p w:rsidR="0088425F" w:rsidRPr="00323D79" w:rsidRDefault="0088425F" w:rsidP="0088425F">
            <w:pPr>
              <w:pStyle w:val="ListParagraph"/>
              <w:numPr>
                <w:ilvl w:val="0"/>
                <w:numId w:val="2"/>
              </w:numPr>
              <w:rPr>
                <w:rFonts w:eastAsia="Times New Roman" w:cstheme="minorHAnsi"/>
                <w:b w:val="0"/>
                <w:color w:val="000000"/>
                <w:sz w:val="20"/>
              </w:rPr>
            </w:pPr>
            <w:r w:rsidRPr="00323D79">
              <w:rPr>
                <w:b w:val="0"/>
                <w:sz w:val="20"/>
              </w:rPr>
              <w:t xml:space="preserve">Direct observation (live or video) </w:t>
            </w:r>
          </w:p>
          <w:p w:rsidR="0088425F" w:rsidRPr="00323D79" w:rsidRDefault="0088425F" w:rsidP="0088425F">
            <w:pPr>
              <w:pStyle w:val="ListParagraph"/>
              <w:numPr>
                <w:ilvl w:val="0"/>
                <w:numId w:val="2"/>
              </w:numPr>
              <w:rPr>
                <w:rFonts w:eastAsia="Times New Roman" w:cstheme="minorHAnsi"/>
                <w:b w:val="0"/>
                <w:color w:val="000000"/>
                <w:sz w:val="20"/>
              </w:rPr>
            </w:pPr>
            <w:r w:rsidRPr="00323D79">
              <w:rPr>
                <w:b w:val="0"/>
                <w:sz w:val="20"/>
              </w:rPr>
              <w:t xml:space="preserve">Rating scales/evaluation forms </w:t>
            </w:r>
          </w:p>
          <w:p w:rsidR="0088425F" w:rsidRPr="00323D79" w:rsidRDefault="0088425F" w:rsidP="0088425F">
            <w:pPr>
              <w:pStyle w:val="ListParagraph"/>
              <w:numPr>
                <w:ilvl w:val="0"/>
                <w:numId w:val="2"/>
              </w:numPr>
              <w:rPr>
                <w:rFonts w:eastAsia="Times New Roman" w:cstheme="minorHAnsi"/>
                <w:b w:val="0"/>
                <w:color w:val="000000"/>
                <w:sz w:val="20"/>
              </w:rPr>
            </w:pPr>
            <w:r w:rsidRPr="00323D79">
              <w:rPr>
                <w:b w:val="0"/>
                <w:sz w:val="20"/>
              </w:rPr>
              <w:t>Audit of clinical practice (e.g., quality performance measures)</w:t>
            </w:r>
          </w:p>
          <w:p w:rsidR="0088425F" w:rsidRPr="00323D79" w:rsidRDefault="0088425F" w:rsidP="0088425F">
            <w:pPr>
              <w:pStyle w:val="ListParagraph"/>
              <w:numPr>
                <w:ilvl w:val="0"/>
                <w:numId w:val="2"/>
              </w:numPr>
              <w:rPr>
                <w:rFonts w:eastAsia="Times New Roman" w:cstheme="minorHAnsi"/>
                <w:b w:val="0"/>
                <w:color w:val="000000"/>
                <w:sz w:val="20"/>
              </w:rPr>
            </w:pPr>
            <w:r w:rsidRPr="00323D79">
              <w:rPr>
                <w:b w:val="0"/>
                <w:sz w:val="20"/>
              </w:rPr>
              <w:t>Simulation (including standardized patients)</w:t>
            </w:r>
          </w:p>
          <w:p w:rsidR="0088425F" w:rsidRPr="00323D79" w:rsidRDefault="0088425F" w:rsidP="0088425F">
            <w:pPr>
              <w:pStyle w:val="ListParagraph"/>
              <w:numPr>
                <w:ilvl w:val="0"/>
                <w:numId w:val="2"/>
              </w:numPr>
              <w:rPr>
                <w:rFonts w:eastAsia="Times New Roman" w:cstheme="minorHAnsi"/>
                <w:color w:val="000000"/>
                <w:sz w:val="20"/>
                <w:szCs w:val="18"/>
              </w:rPr>
            </w:pPr>
            <w:r w:rsidRPr="00323D79">
              <w:rPr>
                <w:b w:val="0"/>
                <w:sz w:val="20"/>
              </w:rPr>
              <w:t>Case logs/registries</w:t>
            </w:r>
          </w:p>
        </w:tc>
      </w:tr>
      <w:tr w:rsidR="00BA6815" w:rsidRPr="00BA6815" w:rsidTr="00323D7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BA6815" w:rsidRPr="00323D79" w:rsidRDefault="00BA6815" w:rsidP="00BA6815">
            <w:pPr>
              <w:spacing w:after="160" w:line="259" w:lineRule="auto"/>
              <w:rPr>
                <w:rFonts w:eastAsia="Times New Roman" w:cstheme="minorHAnsi"/>
                <w:b w:val="0"/>
                <w:color w:val="000000"/>
                <w:sz w:val="20"/>
                <w:szCs w:val="18"/>
              </w:rPr>
            </w:pPr>
            <w:r w:rsidRPr="00323D79">
              <w:rPr>
                <w:rFonts w:eastAsia="Times New Roman" w:cstheme="minorHAnsi"/>
                <w:color w:val="000000"/>
                <w:sz w:val="20"/>
                <w:szCs w:val="18"/>
              </w:rPr>
              <w:t>Medical Knowledge</w:t>
            </w:r>
            <w:r w:rsidR="001E1A91" w:rsidRPr="00323D79">
              <w:rPr>
                <w:rFonts w:eastAsia="Times New Roman" w:cstheme="minorHAnsi"/>
                <w:color w:val="000000"/>
                <w:sz w:val="20"/>
                <w:szCs w:val="18"/>
              </w:rPr>
              <w:t xml:space="preserve">: </w:t>
            </w:r>
            <w:r w:rsidR="001E1A91" w:rsidRPr="00323D79">
              <w:rPr>
                <w:b w:val="0"/>
                <w:bCs w:val="0"/>
                <w:sz w:val="20"/>
              </w:rPr>
              <w:t xml:space="preserve"> </w:t>
            </w:r>
            <w:r w:rsidR="001E1A91" w:rsidRPr="00323D79">
              <w:rPr>
                <w:rFonts w:eastAsia="Times New Roman" w:cstheme="minorHAnsi"/>
                <w:b w:val="0"/>
                <w:color w:val="000000"/>
                <w:sz w:val="20"/>
                <w:szCs w:val="18"/>
              </w:rPr>
              <w:t>Demonstration of knowledge about established and evolving biomedical, clinical, and cognate sciences, as well as the application of these sciences in patient care.</w:t>
            </w:r>
          </w:p>
          <w:p w:rsidR="0088425F" w:rsidRPr="00323D79" w:rsidRDefault="0088425F" w:rsidP="0088425F">
            <w:pPr>
              <w:spacing w:after="160" w:line="259" w:lineRule="auto"/>
              <w:rPr>
                <w:rFonts w:eastAsia="Times New Roman" w:cstheme="minorHAnsi"/>
                <w:b w:val="0"/>
                <w:color w:val="000000"/>
                <w:sz w:val="20"/>
                <w:szCs w:val="18"/>
              </w:rPr>
            </w:pPr>
            <w:r w:rsidRPr="00323D79">
              <w:rPr>
                <w:rFonts w:eastAsia="Times New Roman" w:cstheme="minorHAnsi"/>
                <w:b w:val="0"/>
                <w:color w:val="000000"/>
                <w:sz w:val="20"/>
                <w:szCs w:val="18"/>
              </w:rPr>
              <w:t>Common Assessment methods:</w:t>
            </w:r>
          </w:p>
          <w:p w:rsidR="0088425F" w:rsidRPr="00323D79" w:rsidRDefault="0088425F" w:rsidP="0088425F">
            <w:pPr>
              <w:pStyle w:val="ListParagraph"/>
              <w:numPr>
                <w:ilvl w:val="0"/>
                <w:numId w:val="3"/>
              </w:numPr>
              <w:rPr>
                <w:rFonts w:eastAsia="Times New Roman" w:cstheme="minorHAnsi"/>
                <w:b w:val="0"/>
                <w:color w:val="000000"/>
                <w:sz w:val="20"/>
                <w:szCs w:val="18"/>
              </w:rPr>
            </w:pPr>
            <w:r w:rsidRPr="00323D79">
              <w:rPr>
                <w:b w:val="0"/>
                <w:sz w:val="20"/>
                <w:szCs w:val="18"/>
              </w:rPr>
              <w:t>In-training examinations</w:t>
            </w:r>
          </w:p>
          <w:p w:rsidR="0088425F" w:rsidRPr="00323D79" w:rsidRDefault="0088425F" w:rsidP="0088425F">
            <w:pPr>
              <w:pStyle w:val="ListParagraph"/>
              <w:numPr>
                <w:ilvl w:val="0"/>
                <w:numId w:val="3"/>
              </w:numPr>
              <w:rPr>
                <w:rFonts w:eastAsia="Times New Roman" w:cstheme="minorHAnsi"/>
                <w:b w:val="0"/>
                <w:color w:val="000000"/>
                <w:sz w:val="20"/>
                <w:szCs w:val="18"/>
              </w:rPr>
            </w:pPr>
            <w:r w:rsidRPr="00323D79">
              <w:rPr>
                <w:b w:val="0"/>
                <w:sz w:val="20"/>
                <w:szCs w:val="18"/>
              </w:rPr>
              <w:t>Oral questioning methods (e.g., SNAPPS)</w:t>
            </w:r>
          </w:p>
          <w:p w:rsidR="0088425F" w:rsidRPr="00323D79" w:rsidRDefault="0088425F" w:rsidP="0088425F">
            <w:pPr>
              <w:pStyle w:val="ListParagraph"/>
              <w:numPr>
                <w:ilvl w:val="0"/>
                <w:numId w:val="3"/>
              </w:numPr>
              <w:rPr>
                <w:rFonts w:eastAsia="Times New Roman" w:cstheme="minorHAnsi"/>
                <w:b w:val="0"/>
                <w:color w:val="000000"/>
                <w:sz w:val="20"/>
                <w:szCs w:val="18"/>
              </w:rPr>
            </w:pPr>
            <w:r w:rsidRPr="00323D79">
              <w:rPr>
                <w:b w:val="0"/>
                <w:sz w:val="20"/>
                <w:szCs w:val="18"/>
              </w:rPr>
              <w:t xml:space="preserve">Direct observation (live or video) </w:t>
            </w:r>
          </w:p>
          <w:p w:rsidR="0088425F" w:rsidRPr="00323D79" w:rsidRDefault="0088425F" w:rsidP="0088425F">
            <w:pPr>
              <w:pStyle w:val="ListParagraph"/>
              <w:numPr>
                <w:ilvl w:val="0"/>
                <w:numId w:val="3"/>
              </w:numPr>
              <w:rPr>
                <w:rFonts w:eastAsia="Times New Roman" w:cstheme="minorHAnsi"/>
                <w:color w:val="000000"/>
                <w:sz w:val="20"/>
                <w:szCs w:val="18"/>
              </w:rPr>
            </w:pPr>
            <w:r w:rsidRPr="00323D79">
              <w:rPr>
                <w:b w:val="0"/>
                <w:sz w:val="20"/>
                <w:szCs w:val="18"/>
              </w:rPr>
              <w:t>Assessment of Reasoning Tool</w:t>
            </w:r>
          </w:p>
        </w:tc>
      </w:tr>
      <w:tr w:rsidR="00BA6815" w:rsidRPr="00BA6815" w:rsidTr="00323D7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BA6815" w:rsidRPr="00323D79" w:rsidRDefault="00BA6815" w:rsidP="00BA6815">
            <w:pPr>
              <w:spacing w:after="160" w:line="259" w:lineRule="auto"/>
              <w:rPr>
                <w:rFonts w:eastAsia="Times New Roman" w:cstheme="minorHAnsi"/>
                <w:b w:val="0"/>
                <w:color w:val="000000"/>
                <w:sz w:val="20"/>
                <w:szCs w:val="18"/>
              </w:rPr>
            </w:pPr>
            <w:r w:rsidRPr="00323D79">
              <w:rPr>
                <w:rFonts w:eastAsia="Times New Roman" w:cstheme="minorHAnsi"/>
                <w:color w:val="000000"/>
                <w:sz w:val="20"/>
                <w:szCs w:val="18"/>
              </w:rPr>
              <w:t>Practice-Based Learning and Improvement</w:t>
            </w:r>
            <w:r w:rsidR="001E1A91" w:rsidRPr="00323D79">
              <w:rPr>
                <w:rFonts w:eastAsia="Times New Roman" w:cstheme="minorHAnsi"/>
                <w:color w:val="000000"/>
                <w:sz w:val="20"/>
                <w:szCs w:val="18"/>
              </w:rPr>
              <w:t xml:space="preserve">: </w:t>
            </w:r>
            <w:r w:rsidR="001E1A91" w:rsidRPr="00323D79">
              <w:rPr>
                <w:b w:val="0"/>
                <w:bCs w:val="0"/>
                <w:sz w:val="20"/>
              </w:rPr>
              <w:t xml:space="preserve"> </w:t>
            </w:r>
            <w:r w:rsidR="001E1A91" w:rsidRPr="00323D79">
              <w:rPr>
                <w:rFonts w:eastAsia="Times New Roman" w:cstheme="minorHAnsi"/>
                <w:b w:val="0"/>
                <w:color w:val="000000"/>
                <w:sz w:val="20"/>
                <w:szCs w:val="18"/>
              </w:rPr>
              <w:t>Ability to investigate and evaluate patient care practices, appraise and assimilate scientific evidence, and improve the candidate’s own practice of medicine, the collaborative practice of medicine, or both</w:t>
            </w:r>
          </w:p>
          <w:p w:rsidR="0088425F" w:rsidRPr="00323D79" w:rsidRDefault="0088425F" w:rsidP="0088425F">
            <w:pPr>
              <w:spacing w:after="160" w:line="259" w:lineRule="auto"/>
              <w:rPr>
                <w:rFonts w:eastAsia="Times New Roman" w:cstheme="minorHAnsi"/>
                <w:b w:val="0"/>
                <w:color w:val="000000"/>
                <w:sz w:val="20"/>
                <w:szCs w:val="18"/>
              </w:rPr>
            </w:pPr>
            <w:r w:rsidRPr="00323D79">
              <w:rPr>
                <w:rFonts w:eastAsia="Times New Roman" w:cstheme="minorHAnsi"/>
                <w:b w:val="0"/>
                <w:color w:val="000000"/>
                <w:sz w:val="20"/>
                <w:szCs w:val="18"/>
              </w:rPr>
              <w:t>Common Assessment methods:</w:t>
            </w:r>
          </w:p>
          <w:p w:rsidR="0088425F" w:rsidRPr="00323D79" w:rsidRDefault="0088425F" w:rsidP="0088425F">
            <w:pPr>
              <w:pStyle w:val="ListParagraph"/>
              <w:numPr>
                <w:ilvl w:val="0"/>
                <w:numId w:val="4"/>
              </w:numPr>
              <w:rPr>
                <w:rFonts w:eastAsia="Times New Roman" w:cstheme="minorHAnsi"/>
                <w:b w:val="0"/>
                <w:color w:val="000000"/>
                <w:sz w:val="20"/>
                <w:szCs w:val="18"/>
              </w:rPr>
            </w:pPr>
            <w:r w:rsidRPr="00323D79">
              <w:rPr>
                <w:b w:val="0"/>
                <w:sz w:val="20"/>
                <w:szCs w:val="18"/>
              </w:rPr>
              <w:t>Audit of clinical practice (e.g., quality performance measures)</w:t>
            </w:r>
          </w:p>
          <w:p w:rsidR="0088425F" w:rsidRPr="00323D79" w:rsidRDefault="0088425F" w:rsidP="0088425F">
            <w:pPr>
              <w:pStyle w:val="ListParagraph"/>
              <w:numPr>
                <w:ilvl w:val="0"/>
                <w:numId w:val="4"/>
              </w:numPr>
              <w:rPr>
                <w:rFonts w:eastAsia="Times New Roman" w:cstheme="minorHAnsi"/>
                <w:b w:val="0"/>
                <w:color w:val="000000"/>
                <w:sz w:val="20"/>
                <w:szCs w:val="18"/>
              </w:rPr>
            </w:pPr>
            <w:r w:rsidRPr="00323D79">
              <w:rPr>
                <w:b w:val="0"/>
                <w:sz w:val="20"/>
                <w:szCs w:val="18"/>
              </w:rPr>
              <w:t>Evidence-based medicine log</w:t>
            </w:r>
          </w:p>
          <w:p w:rsidR="0088425F" w:rsidRPr="00323D79" w:rsidRDefault="0088425F" w:rsidP="0088425F">
            <w:pPr>
              <w:pStyle w:val="ListParagraph"/>
              <w:numPr>
                <w:ilvl w:val="0"/>
                <w:numId w:val="4"/>
              </w:numPr>
              <w:rPr>
                <w:rFonts w:eastAsia="Times New Roman" w:cstheme="minorHAnsi"/>
                <w:b w:val="0"/>
                <w:color w:val="000000"/>
                <w:sz w:val="20"/>
                <w:szCs w:val="18"/>
              </w:rPr>
            </w:pPr>
            <w:r w:rsidRPr="00323D79">
              <w:rPr>
                <w:b w:val="0"/>
                <w:sz w:val="20"/>
                <w:szCs w:val="18"/>
              </w:rPr>
              <w:t>Case logs</w:t>
            </w:r>
          </w:p>
          <w:p w:rsidR="0088425F" w:rsidRPr="00323D79" w:rsidRDefault="0088425F" w:rsidP="0088425F">
            <w:pPr>
              <w:pStyle w:val="ListParagraph"/>
              <w:numPr>
                <w:ilvl w:val="0"/>
                <w:numId w:val="4"/>
              </w:numPr>
              <w:rPr>
                <w:rFonts w:eastAsia="Times New Roman" w:cstheme="minorHAnsi"/>
                <w:b w:val="0"/>
                <w:color w:val="000000"/>
                <w:sz w:val="20"/>
                <w:szCs w:val="18"/>
              </w:rPr>
            </w:pPr>
            <w:r w:rsidRPr="00323D79">
              <w:rPr>
                <w:b w:val="0"/>
                <w:sz w:val="20"/>
                <w:szCs w:val="18"/>
              </w:rPr>
              <w:t>Rating scales/evaluation forms</w:t>
            </w:r>
          </w:p>
          <w:p w:rsidR="0088425F" w:rsidRPr="00323D79" w:rsidRDefault="0088425F" w:rsidP="0088425F">
            <w:pPr>
              <w:pStyle w:val="ListParagraph"/>
              <w:numPr>
                <w:ilvl w:val="0"/>
                <w:numId w:val="4"/>
              </w:numPr>
              <w:rPr>
                <w:rFonts w:eastAsia="Times New Roman" w:cstheme="minorHAnsi"/>
                <w:color w:val="000000"/>
                <w:sz w:val="20"/>
                <w:szCs w:val="18"/>
              </w:rPr>
            </w:pPr>
            <w:r w:rsidRPr="00323D79">
              <w:rPr>
                <w:b w:val="0"/>
                <w:sz w:val="20"/>
                <w:szCs w:val="18"/>
              </w:rPr>
              <w:t>Reflective practice rubrics</w:t>
            </w:r>
          </w:p>
        </w:tc>
      </w:tr>
      <w:tr w:rsidR="00BA6815" w:rsidRPr="00BA6815" w:rsidTr="00323D7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BA6815" w:rsidRPr="00323D79" w:rsidRDefault="00BA6815" w:rsidP="00BA6815">
            <w:pPr>
              <w:spacing w:after="160" w:line="259" w:lineRule="auto"/>
              <w:rPr>
                <w:rFonts w:eastAsia="Times New Roman" w:cstheme="minorHAnsi"/>
                <w:b w:val="0"/>
                <w:color w:val="000000"/>
                <w:sz w:val="20"/>
                <w:szCs w:val="18"/>
              </w:rPr>
            </w:pPr>
            <w:r w:rsidRPr="00323D79">
              <w:rPr>
                <w:rFonts w:eastAsia="Times New Roman" w:cstheme="minorHAnsi"/>
                <w:color w:val="000000"/>
                <w:sz w:val="20"/>
                <w:szCs w:val="18"/>
              </w:rPr>
              <w:t>Interpersonal &amp; Communication Skills</w:t>
            </w:r>
            <w:r w:rsidR="001E1A91" w:rsidRPr="00323D79">
              <w:rPr>
                <w:rFonts w:eastAsia="Times New Roman" w:cstheme="minorHAnsi"/>
                <w:color w:val="000000"/>
                <w:sz w:val="20"/>
                <w:szCs w:val="18"/>
              </w:rPr>
              <w:t xml:space="preserve">: </w:t>
            </w:r>
            <w:r w:rsidR="001E1A91" w:rsidRPr="00323D79">
              <w:rPr>
                <w:b w:val="0"/>
                <w:bCs w:val="0"/>
                <w:sz w:val="20"/>
              </w:rPr>
              <w:t xml:space="preserve"> </w:t>
            </w:r>
            <w:r w:rsidR="001E1A91" w:rsidRPr="00323D79">
              <w:rPr>
                <w:rFonts w:eastAsia="Times New Roman" w:cstheme="minorHAnsi"/>
                <w:b w:val="0"/>
                <w:color w:val="000000"/>
                <w:sz w:val="20"/>
                <w:szCs w:val="18"/>
              </w:rPr>
              <w:t>Demonstration of skills that result in effective information exchange and partnering with patients, their families, and professional associates (e.g., fostering a therapeutic relationship that is ethically sound; using effective listening skills with nonverbal and verbal communication; being mindful of health literacy; and working effectively in a team both as a team member and as a team leader)</w:t>
            </w:r>
          </w:p>
          <w:p w:rsidR="0088425F" w:rsidRPr="00323D79" w:rsidRDefault="0088425F" w:rsidP="0088425F">
            <w:pPr>
              <w:spacing w:after="160" w:line="259" w:lineRule="auto"/>
              <w:rPr>
                <w:rFonts w:eastAsia="Times New Roman" w:cstheme="minorHAnsi"/>
                <w:b w:val="0"/>
                <w:color w:val="000000"/>
                <w:sz w:val="20"/>
                <w:szCs w:val="18"/>
              </w:rPr>
            </w:pPr>
            <w:r w:rsidRPr="00323D79">
              <w:rPr>
                <w:rFonts w:eastAsia="Times New Roman" w:cstheme="minorHAnsi"/>
                <w:b w:val="0"/>
                <w:color w:val="000000"/>
                <w:sz w:val="20"/>
                <w:szCs w:val="18"/>
              </w:rPr>
              <w:t>Common Assessment methods:</w:t>
            </w:r>
          </w:p>
          <w:p w:rsidR="0088425F" w:rsidRPr="00323D79" w:rsidRDefault="0088425F" w:rsidP="0088425F">
            <w:pPr>
              <w:pStyle w:val="ListParagraph"/>
              <w:numPr>
                <w:ilvl w:val="0"/>
                <w:numId w:val="5"/>
              </w:numPr>
              <w:rPr>
                <w:rFonts w:eastAsia="Times New Roman" w:cstheme="minorHAnsi"/>
                <w:b w:val="0"/>
                <w:color w:val="000000"/>
                <w:sz w:val="20"/>
                <w:szCs w:val="18"/>
              </w:rPr>
            </w:pPr>
            <w:r w:rsidRPr="00323D79">
              <w:rPr>
                <w:b w:val="0"/>
                <w:sz w:val="20"/>
                <w:szCs w:val="18"/>
              </w:rPr>
              <w:t>Multi-source feedback</w:t>
            </w:r>
          </w:p>
          <w:p w:rsidR="0088425F" w:rsidRPr="00323D79" w:rsidRDefault="0088425F" w:rsidP="0088425F">
            <w:pPr>
              <w:pStyle w:val="ListParagraph"/>
              <w:numPr>
                <w:ilvl w:val="0"/>
                <w:numId w:val="5"/>
              </w:numPr>
              <w:rPr>
                <w:rFonts w:eastAsia="Times New Roman" w:cstheme="minorHAnsi"/>
                <w:b w:val="0"/>
                <w:color w:val="000000"/>
                <w:sz w:val="20"/>
                <w:szCs w:val="18"/>
              </w:rPr>
            </w:pPr>
            <w:r w:rsidRPr="00323D79">
              <w:rPr>
                <w:b w:val="0"/>
                <w:sz w:val="20"/>
                <w:szCs w:val="18"/>
              </w:rPr>
              <w:t>Patient surveys (can be part of multisource feedback</w:t>
            </w:r>
            <w:r w:rsidR="00825547" w:rsidRPr="00323D79">
              <w:rPr>
                <w:b w:val="0"/>
                <w:sz w:val="20"/>
                <w:szCs w:val="18"/>
              </w:rPr>
              <w:t>)</w:t>
            </w:r>
          </w:p>
          <w:p w:rsidR="00825547" w:rsidRPr="00323D79" w:rsidRDefault="0088425F" w:rsidP="0088425F">
            <w:pPr>
              <w:pStyle w:val="ListParagraph"/>
              <w:numPr>
                <w:ilvl w:val="0"/>
                <w:numId w:val="5"/>
              </w:numPr>
              <w:rPr>
                <w:rFonts w:eastAsia="Times New Roman" w:cstheme="minorHAnsi"/>
                <w:b w:val="0"/>
                <w:color w:val="000000"/>
                <w:sz w:val="20"/>
                <w:szCs w:val="18"/>
              </w:rPr>
            </w:pPr>
            <w:r w:rsidRPr="00323D79">
              <w:rPr>
                <w:b w:val="0"/>
                <w:sz w:val="20"/>
                <w:szCs w:val="18"/>
              </w:rPr>
              <w:t>Direc</w:t>
            </w:r>
            <w:r w:rsidR="00825547" w:rsidRPr="00323D79">
              <w:rPr>
                <w:b w:val="0"/>
                <w:sz w:val="20"/>
                <w:szCs w:val="18"/>
              </w:rPr>
              <w:t xml:space="preserve">t observation (live or video) </w:t>
            </w:r>
          </w:p>
          <w:p w:rsidR="0088425F" w:rsidRPr="00323D79" w:rsidRDefault="00825547" w:rsidP="0088425F">
            <w:pPr>
              <w:pStyle w:val="ListParagraph"/>
              <w:numPr>
                <w:ilvl w:val="0"/>
                <w:numId w:val="5"/>
              </w:numPr>
              <w:rPr>
                <w:rFonts w:eastAsia="Times New Roman" w:cstheme="minorHAnsi"/>
                <w:b w:val="0"/>
                <w:color w:val="000000"/>
                <w:sz w:val="20"/>
                <w:szCs w:val="18"/>
              </w:rPr>
            </w:pPr>
            <w:r w:rsidRPr="00323D79">
              <w:rPr>
                <w:b w:val="0"/>
                <w:sz w:val="20"/>
                <w:szCs w:val="18"/>
              </w:rPr>
              <w:t>Simulation (Including standardized patients)</w:t>
            </w:r>
          </w:p>
        </w:tc>
      </w:tr>
      <w:tr w:rsidR="00BA6815" w:rsidRPr="00BA6815" w:rsidTr="00323D79">
        <w:tc>
          <w:tcPr>
            <w:cnfStyle w:val="001000000000" w:firstRow="0" w:lastRow="0" w:firstColumn="1" w:lastColumn="0" w:oddVBand="0" w:evenVBand="0" w:oddHBand="0" w:evenHBand="0" w:firstRowFirstColumn="0" w:firstRowLastColumn="0" w:lastRowFirstColumn="0" w:lastRowLastColumn="0"/>
            <w:tcW w:w="9350" w:type="dxa"/>
            <w:tcBorders>
              <w:bottom w:val="single" w:sz="4" w:space="0" w:color="999999" w:themeColor="text1" w:themeTint="66"/>
            </w:tcBorders>
            <w:shd w:val="clear" w:color="auto" w:fill="auto"/>
          </w:tcPr>
          <w:p w:rsidR="00BA6815" w:rsidRPr="00323D79" w:rsidRDefault="00BA6815" w:rsidP="00BA6815">
            <w:pPr>
              <w:spacing w:after="160" w:line="259" w:lineRule="auto"/>
              <w:rPr>
                <w:rFonts w:eastAsia="Times New Roman" w:cstheme="minorHAnsi"/>
                <w:b w:val="0"/>
                <w:color w:val="000000"/>
                <w:sz w:val="20"/>
                <w:szCs w:val="18"/>
              </w:rPr>
            </w:pPr>
            <w:r w:rsidRPr="00323D79">
              <w:rPr>
                <w:rFonts w:eastAsia="Times New Roman" w:cstheme="minorHAnsi"/>
                <w:color w:val="000000"/>
                <w:sz w:val="20"/>
                <w:szCs w:val="18"/>
              </w:rPr>
              <w:lastRenderedPageBreak/>
              <w:t>Professionalism</w:t>
            </w:r>
            <w:r w:rsidR="001E1A91" w:rsidRPr="00323D79">
              <w:rPr>
                <w:rFonts w:eastAsia="Times New Roman" w:cstheme="minorHAnsi"/>
                <w:color w:val="000000"/>
                <w:sz w:val="20"/>
                <w:szCs w:val="18"/>
              </w:rPr>
              <w:t xml:space="preserve">: </w:t>
            </w:r>
            <w:r w:rsidR="001E1A91" w:rsidRPr="00323D79">
              <w:rPr>
                <w:b w:val="0"/>
                <w:bCs w:val="0"/>
                <w:sz w:val="20"/>
              </w:rPr>
              <w:t xml:space="preserve">  </w:t>
            </w:r>
            <w:r w:rsidR="001E1A91" w:rsidRPr="00323D79">
              <w:rPr>
                <w:rFonts w:eastAsia="Times New Roman" w:cstheme="minorHAnsi"/>
                <w:b w:val="0"/>
                <w:color w:val="000000"/>
                <w:sz w:val="20"/>
                <w:szCs w:val="18"/>
              </w:rPr>
              <w:t>Demonstration of a commitment to carrying out professional responsibilities; adhering to ethical principles; applying the skills and values to deliver compassionate, patient-centered care; demonstrating humanism; being sensitive to diverse patient populations and workforce; and practicing wellness and self-care.</w:t>
            </w:r>
          </w:p>
          <w:p w:rsidR="0088425F" w:rsidRPr="00323D79" w:rsidRDefault="0088425F" w:rsidP="0088425F">
            <w:pPr>
              <w:spacing w:after="160" w:line="259" w:lineRule="auto"/>
              <w:rPr>
                <w:rFonts w:eastAsia="Times New Roman" w:cstheme="minorHAnsi"/>
                <w:b w:val="0"/>
                <w:color w:val="000000"/>
                <w:sz w:val="20"/>
                <w:szCs w:val="18"/>
              </w:rPr>
            </w:pPr>
            <w:r w:rsidRPr="00323D79">
              <w:rPr>
                <w:rFonts w:eastAsia="Times New Roman" w:cstheme="minorHAnsi"/>
                <w:b w:val="0"/>
                <w:color w:val="000000"/>
                <w:sz w:val="20"/>
                <w:szCs w:val="18"/>
              </w:rPr>
              <w:t>Common Assessment methods:</w:t>
            </w:r>
          </w:p>
          <w:p w:rsidR="00825547" w:rsidRPr="00323D79" w:rsidRDefault="00825547" w:rsidP="00825547">
            <w:pPr>
              <w:pStyle w:val="ListParagraph"/>
              <w:numPr>
                <w:ilvl w:val="0"/>
                <w:numId w:val="6"/>
              </w:numPr>
              <w:rPr>
                <w:rFonts w:eastAsia="Times New Roman" w:cstheme="minorHAnsi"/>
                <w:b w:val="0"/>
                <w:color w:val="000000"/>
                <w:sz w:val="20"/>
                <w:szCs w:val="18"/>
              </w:rPr>
            </w:pPr>
            <w:r w:rsidRPr="00323D79">
              <w:rPr>
                <w:b w:val="0"/>
                <w:sz w:val="20"/>
                <w:szCs w:val="18"/>
              </w:rPr>
              <w:t>Multi-source feedback</w:t>
            </w:r>
          </w:p>
          <w:p w:rsidR="00825547" w:rsidRPr="00323D79" w:rsidRDefault="00825547" w:rsidP="00825547">
            <w:pPr>
              <w:pStyle w:val="ListParagraph"/>
              <w:numPr>
                <w:ilvl w:val="0"/>
                <w:numId w:val="6"/>
              </w:numPr>
              <w:rPr>
                <w:rFonts w:eastAsia="Times New Roman" w:cstheme="minorHAnsi"/>
                <w:b w:val="0"/>
                <w:color w:val="000000"/>
                <w:sz w:val="20"/>
                <w:szCs w:val="18"/>
              </w:rPr>
            </w:pPr>
            <w:r w:rsidRPr="00323D79">
              <w:rPr>
                <w:b w:val="0"/>
                <w:sz w:val="20"/>
                <w:szCs w:val="18"/>
              </w:rPr>
              <w:t xml:space="preserve">Patient surveys (can be part of multisource feedback) </w:t>
            </w:r>
          </w:p>
          <w:p w:rsidR="0088425F" w:rsidRPr="00323D79" w:rsidRDefault="00825547" w:rsidP="00825547">
            <w:pPr>
              <w:pStyle w:val="ListParagraph"/>
              <w:numPr>
                <w:ilvl w:val="0"/>
                <w:numId w:val="6"/>
              </w:numPr>
              <w:rPr>
                <w:rFonts w:eastAsia="Times New Roman" w:cstheme="minorHAnsi"/>
                <w:color w:val="000000"/>
                <w:sz w:val="20"/>
                <w:szCs w:val="18"/>
              </w:rPr>
            </w:pPr>
            <w:r w:rsidRPr="00323D79">
              <w:rPr>
                <w:b w:val="0"/>
                <w:sz w:val="20"/>
                <w:szCs w:val="18"/>
              </w:rPr>
              <w:t>Direct observation</w:t>
            </w:r>
          </w:p>
        </w:tc>
      </w:tr>
      <w:tr w:rsidR="00BA6815" w:rsidRPr="00BA6815" w:rsidTr="00323D79">
        <w:tc>
          <w:tcPr>
            <w:cnfStyle w:val="001000000000" w:firstRow="0" w:lastRow="0" w:firstColumn="1" w:lastColumn="0" w:oddVBand="0" w:evenVBand="0" w:oddHBand="0" w:evenHBand="0" w:firstRowFirstColumn="0" w:firstRowLastColumn="0" w:lastRowFirstColumn="0" w:lastRowLastColumn="0"/>
            <w:tcW w:w="9350" w:type="dxa"/>
            <w:tcBorders>
              <w:bottom w:val="single" w:sz="4" w:space="0" w:color="auto"/>
            </w:tcBorders>
            <w:shd w:val="clear" w:color="auto" w:fill="auto"/>
          </w:tcPr>
          <w:p w:rsidR="00BA6815" w:rsidRPr="00323D79" w:rsidRDefault="00BA6815" w:rsidP="00BA6815">
            <w:pPr>
              <w:spacing w:after="160" w:line="259" w:lineRule="auto"/>
              <w:rPr>
                <w:rFonts w:eastAsia="Times New Roman" w:cstheme="minorHAnsi"/>
                <w:b w:val="0"/>
                <w:color w:val="000000"/>
                <w:sz w:val="20"/>
                <w:szCs w:val="18"/>
              </w:rPr>
            </w:pPr>
            <w:r w:rsidRPr="00323D79">
              <w:rPr>
                <w:rFonts w:eastAsia="Times New Roman" w:cstheme="minorHAnsi"/>
                <w:color w:val="000000"/>
                <w:sz w:val="20"/>
                <w:szCs w:val="18"/>
              </w:rPr>
              <w:t>System-Based Practice</w:t>
            </w:r>
            <w:r w:rsidR="001E1A91" w:rsidRPr="00323D79">
              <w:rPr>
                <w:rFonts w:eastAsia="Times New Roman" w:cstheme="minorHAnsi"/>
                <w:color w:val="000000"/>
                <w:sz w:val="20"/>
                <w:szCs w:val="18"/>
              </w:rPr>
              <w:t xml:space="preserve">: </w:t>
            </w:r>
            <w:r w:rsidR="001E1A91" w:rsidRPr="00323D79">
              <w:rPr>
                <w:b w:val="0"/>
                <w:bCs w:val="0"/>
                <w:sz w:val="20"/>
              </w:rPr>
              <w:t xml:space="preserve"> </w:t>
            </w:r>
            <w:r w:rsidR="001E1A91" w:rsidRPr="00323D79">
              <w:rPr>
                <w:rFonts w:eastAsia="Times New Roman" w:cstheme="minorHAnsi"/>
                <w:b w:val="0"/>
                <w:color w:val="000000"/>
                <w:sz w:val="20"/>
                <w:szCs w:val="18"/>
              </w:rPr>
              <w:t>Awareness of, and responsibility to, population health and systems of health care. The candidate should be able to use system resources responsibly in providing patient care (e.g., good resource stewardship, coordination of care)</w:t>
            </w:r>
          </w:p>
          <w:p w:rsidR="0088425F" w:rsidRPr="00323D79" w:rsidRDefault="0088425F" w:rsidP="0088425F">
            <w:pPr>
              <w:spacing w:after="160" w:line="259" w:lineRule="auto"/>
              <w:rPr>
                <w:rFonts w:eastAsia="Times New Roman" w:cstheme="minorHAnsi"/>
                <w:b w:val="0"/>
                <w:color w:val="000000"/>
                <w:sz w:val="20"/>
                <w:szCs w:val="18"/>
              </w:rPr>
            </w:pPr>
            <w:r w:rsidRPr="00323D79">
              <w:rPr>
                <w:rFonts w:eastAsia="Times New Roman" w:cstheme="minorHAnsi"/>
                <w:b w:val="0"/>
                <w:color w:val="000000"/>
                <w:sz w:val="20"/>
                <w:szCs w:val="18"/>
              </w:rPr>
              <w:t>Common Assessment methods:</w:t>
            </w:r>
          </w:p>
          <w:p w:rsidR="00825547" w:rsidRPr="00323D79" w:rsidRDefault="00825547" w:rsidP="00825547">
            <w:pPr>
              <w:pStyle w:val="ListParagraph"/>
              <w:numPr>
                <w:ilvl w:val="0"/>
                <w:numId w:val="7"/>
              </w:numPr>
              <w:rPr>
                <w:rFonts w:eastAsia="Times New Roman" w:cstheme="minorHAnsi"/>
                <w:b w:val="0"/>
                <w:color w:val="000000"/>
                <w:sz w:val="20"/>
                <w:szCs w:val="18"/>
              </w:rPr>
            </w:pPr>
            <w:r w:rsidRPr="00323D79">
              <w:rPr>
                <w:b w:val="0"/>
                <w:sz w:val="20"/>
                <w:szCs w:val="18"/>
              </w:rPr>
              <w:t>Quality improvement knowledge assessment test</w:t>
            </w:r>
          </w:p>
          <w:p w:rsidR="00825547" w:rsidRPr="00323D79" w:rsidRDefault="00825547" w:rsidP="00825547">
            <w:pPr>
              <w:pStyle w:val="ListParagraph"/>
              <w:numPr>
                <w:ilvl w:val="0"/>
                <w:numId w:val="7"/>
              </w:numPr>
              <w:rPr>
                <w:rFonts w:eastAsia="Times New Roman" w:cstheme="minorHAnsi"/>
                <w:b w:val="0"/>
                <w:color w:val="000000"/>
                <w:sz w:val="20"/>
                <w:szCs w:val="18"/>
              </w:rPr>
            </w:pPr>
            <w:r w:rsidRPr="00323D79">
              <w:rPr>
                <w:b w:val="0"/>
                <w:sz w:val="20"/>
                <w:szCs w:val="18"/>
              </w:rPr>
              <w:t xml:space="preserve">Audit of clinical practice (e.g., quality performance measures) </w:t>
            </w:r>
          </w:p>
          <w:p w:rsidR="00825547" w:rsidRPr="00323D79" w:rsidRDefault="00825547" w:rsidP="00825547">
            <w:pPr>
              <w:pStyle w:val="ListParagraph"/>
              <w:numPr>
                <w:ilvl w:val="0"/>
                <w:numId w:val="7"/>
              </w:numPr>
              <w:rPr>
                <w:rFonts w:eastAsia="Times New Roman" w:cstheme="minorHAnsi"/>
                <w:b w:val="0"/>
                <w:color w:val="000000"/>
                <w:sz w:val="20"/>
                <w:szCs w:val="18"/>
              </w:rPr>
            </w:pPr>
            <w:r w:rsidRPr="00323D79">
              <w:rPr>
                <w:b w:val="0"/>
                <w:sz w:val="20"/>
                <w:szCs w:val="18"/>
              </w:rPr>
              <w:t>Multi-source feedback</w:t>
            </w:r>
          </w:p>
          <w:p w:rsidR="0088425F" w:rsidRPr="00323D79" w:rsidRDefault="00825547" w:rsidP="00825547">
            <w:pPr>
              <w:pStyle w:val="ListParagraph"/>
              <w:numPr>
                <w:ilvl w:val="0"/>
                <w:numId w:val="7"/>
              </w:numPr>
              <w:rPr>
                <w:rFonts w:eastAsia="Times New Roman" w:cstheme="minorHAnsi"/>
                <w:color w:val="000000"/>
                <w:sz w:val="20"/>
                <w:szCs w:val="18"/>
              </w:rPr>
            </w:pPr>
            <w:r w:rsidRPr="00323D79">
              <w:rPr>
                <w:b w:val="0"/>
                <w:sz w:val="20"/>
                <w:szCs w:val="18"/>
              </w:rPr>
              <w:t>Rating scales/evaluation forms</w:t>
            </w:r>
          </w:p>
        </w:tc>
      </w:tr>
      <w:tr w:rsidR="00323D79" w:rsidRPr="00BA6815" w:rsidTr="00323D79">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left w:val="nil"/>
              <w:bottom w:val="single" w:sz="4" w:space="0" w:color="auto"/>
              <w:right w:val="nil"/>
            </w:tcBorders>
            <w:shd w:val="clear" w:color="auto" w:fill="auto"/>
          </w:tcPr>
          <w:p w:rsidR="00323D79" w:rsidRDefault="00323D79" w:rsidP="00BA6815">
            <w:pPr>
              <w:rPr>
                <w:rFonts w:eastAsia="Times New Roman" w:cstheme="minorHAnsi"/>
                <w:color w:val="000000"/>
                <w:sz w:val="20"/>
                <w:szCs w:val="18"/>
              </w:rPr>
            </w:pPr>
          </w:p>
          <w:p w:rsidR="00323D79" w:rsidRPr="00323D79" w:rsidRDefault="00323D79" w:rsidP="00BA6815">
            <w:pPr>
              <w:rPr>
                <w:rFonts w:eastAsia="Times New Roman" w:cstheme="minorHAnsi"/>
                <w:color w:val="000000"/>
                <w:sz w:val="20"/>
                <w:szCs w:val="18"/>
              </w:rPr>
            </w:pPr>
          </w:p>
        </w:tc>
      </w:tr>
      <w:tr w:rsidR="004B0CB2" w:rsidRPr="00BA6815" w:rsidTr="00323D79">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tcBorders>
            <w:shd w:val="clear" w:color="auto" w:fill="D9D9D9" w:themeFill="background1" w:themeFillShade="D9"/>
          </w:tcPr>
          <w:p w:rsidR="004B0CB2" w:rsidRPr="00323D79" w:rsidRDefault="004B0CB2" w:rsidP="00323D79">
            <w:pPr>
              <w:shd w:val="clear" w:color="auto" w:fill="D9D9D9" w:themeFill="background1" w:themeFillShade="D9"/>
              <w:rPr>
                <w:rFonts w:eastAsia="Times New Roman" w:cstheme="minorHAnsi"/>
                <w:i/>
                <w:color w:val="333333"/>
                <w:sz w:val="24"/>
                <w:szCs w:val="20"/>
                <w:shd w:val="clear" w:color="auto" w:fill="FFFFFF"/>
              </w:rPr>
            </w:pPr>
            <w:r w:rsidRPr="00323D79">
              <w:rPr>
                <w:rFonts w:eastAsia="Times New Roman" w:cstheme="minorHAnsi"/>
                <w:i/>
                <w:color w:val="333333"/>
                <w:sz w:val="24"/>
                <w:szCs w:val="20"/>
                <w:highlight w:val="lightGray"/>
                <w:shd w:val="clear" w:color="auto" w:fill="FFFFFF"/>
              </w:rPr>
              <w:t>Institute of Medicine</w:t>
            </w:r>
          </w:p>
          <w:p w:rsidR="00825547" w:rsidRPr="004B0CB2" w:rsidRDefault="00825547" w:rsidP="004B0CB2">
            <w:pPr>
              <w:rPr>
                <w:rFonts w:eastAsia="Times New Roman" w:cstheme="minorHAnsi"/>
                <w:b w:val="0"/>
                <w:i/>
                <w:sz w:val="20"/>
                <w:szCs w:val="20"/>
              </w:rPr>
            </w:pPr>
          </w:p>
        </w:tc>
      </w:tr>
      <w:tr w:rsidR="00BA6815" w:rsidRPr="00BA6815" w:rsidTr="00323D7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BA6815" w:rsidRPr="00323D79" w:rsidRDefault="00BA6815" w:rsidP="00BA6815">
            <w:pPr>
              <w:spacing w:after="160" w:line="259" w:lineRule="auto"/>
              <w:rPr>
                <w:rFonts w:eastAsia="Times New Roman" w:cstheme="minorHAnsi"/>
                <w:color w:val="000000"/>
                <w:sz w:val="20"/>
                <w:szCs w:val="18"/>
              </w:rPr>
            </w:pPr>
            <w:r w:rsidRPr="00323D79">
              <w:rPr>
                <w:rFonts w:eastAsia="Times New Roman" w:cstheme="minorHAnsi"/>
                <w:color w:val="000000"/>
                <w:sz w:val="20"/>
                <w:szCs w:val="18"/>
              </w:rPr>
              <w:t>Provide Patient-Centered Care</w:t>
            </w:r>
            <w:r w:rsidR="001E1A91" w:rsidRPr="00323D79">
              <w:rPr>
                <w:rFonts w:eastAsia="Times New Roman" w:cstheme="minorHAnsi"/>
                <w:color w:val="000000"/>
                <w:sz w:val="20"/>
                <w:szCs w:val="18"/>
              </w:rPr>
              <w:t xml:space="preserve">: </w:t>
            </w:r>
            <w:r w:rsidR="001E1A91" w:rsidRPr="00323D79">
              <w:rPr>
                <w:b w:val="0"/>
                <w:bCs w:val="0"/>
                <w:sz w:val="20"/>
              </w:rPr>
              <w:t xml:space="preserve"> </w:t>
            </w:r>
            <w:r w:rsidR="001E1A91" w:rsidRPr="00323D79">
              <w:rPr>
                <w:rFonts w:eastAsia="Times New Roman" w:cstheme="minorHAnsi"/>
                <w:b w:val="0"/>
                <w:color w:val="000000"/>
                <w:sz w:val="20"/>
                <w:szCs w:val="18"/>
              </w:rPr>
              <w:t>Identify, respect, and care about patients' differences, values, preferences, and expressed needs; listen to, clearly inform, communicate with, and educate patients; share decision making and management; and continuously advocate disease prevention, wellness, and promotion of healthy lifestyles, including a focus on population health</w:t>
            </w:r>
          </w:p>
        </w:tc>
      </w:tr>
      <w:tr w:rsidR="00BA6815" w:rsidRPr="00BA6815" w:rsidTr="00323D7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BA6815" w:rsidRPr="00323D79" w:rsidRDefault="00BA6815" w:rsidP="00BA6815">
            <w:pPr>
              <w:spacing w:after="160" w:line="259" w:lineRule="auto"/>
              <w:rPr>
                <w:rFonts w:eastAsia="Times New Roman" w:cstheme="minorHAnsi"/>
                <w:color w:val="000000"/>
                <w:sz w:val="20"/>
                <w:szCs w:val="18"/>
              </w:rPr>
            </w:pPr>
            <w:r w:rsidRPr="00323D79">
              <w:rPr>
                <w:rFonts w:eastAsia="Times New Roman" w:cstheme="minorHAnsi"/>
                <w:color w:val="000000"/>
                <w:sz w:val="20"/>
                <w:szCs w:val="18"/>
              </w:rPr>
              <w:t>Work in Interdisciplinary Teams</w:t>
            </w:r>
            <w:r w:rsidR="001E1A91" w:rsidRPr="00323D79">
              <w:rPr>
                <w:rFonts w:eastAsia="Times New Roman" w:cstheme="minorHAnsi"/>
                <w:color w:val="000000"/>
                <w:sz w:val="20"/>
                <w:szCs w:val="18"/>
              </w:rPr>
              <w:t>:</w:t>
            </w:r>
            <w:r w:rsidR="001E1A91" w:rsidRPr="00323D79">
              <w:rPr>
                <w:b w:val="0"/>
                <w:bCs w:val="0"/>
                <w:sz w:val="20"/>
              </w:rPr>
              <w:t xml:space="preserve"> </w:t>
            </w:r>
            <w:r w:rsidR="001E1A91" w:rsidRPr="00323D79">
              <w:rPr>
                <w:rFonts w:eastAsia="Times New Roman" w:cstheme="minorHAnsi"/>
                <w:b w:val="0"/>
                <w:color w:val="000000"/>
                <w:sz w:val="20"/>
                <w:szCs w:val="18"/>
              </w:rPr>
              <w:t>Cooperate, collaborate, communicate, and integrate care in teams to ensure that care is continuous and reliable</w:t>
            </w:r>
          </w:p>
        </w:tc>
      </w:tr>
      <w:tr w:rsidR="00BA6815" w:rsidRPr="00BA6815" w:rsidTr="00323D7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BA6815" w:rsidRPr="00323D79" w:rsidRDefault="00BA6815" w:rsidP="00BA6815">
            <w:pPr>
              <w:spacing w:after="160" w:line="259" w:lineRule="auto"/>
              <w:rPr>
                <w:rFonts w:eastAsia="Times New Roman" w:cstheme="minorHAnsi"/>
                <w:color w:val="000000"/>
                <w:sz w:val="20"/>
                <w:szCs w:val="18"/>
              </w:rPr>
            </w:pPr>
            <w:r w:rsidRPr="00323D79">
              <w:rPr>
                <w:rFonts w:eastAsia="Times New Roman" w:cstheme="minorHAnsi"/>
                <w:color w:val="000000"/>
                <w:sz w:val="20"/>
                <w:szCs w:val="18"/>
              </w:rPr>
              <w:t>Employ Evidence-Based Practice</w:t>
            </w:r>
            <w:r w:rsidR="001E1A91" w:rsidRPr="00323D79">
              <w:rPr>
                <w:rFonts w:eastAsia="Times New Roman" w:cstheme="minorHAnsi"/>
                <w:color w:val="000000"/>
                <w:sz w:val="20"/>
                <w:szCs w:val="18"/>
              </w:rPr>
              <w:t xml:space="preserve">: </w:t>
            </w:r>
            <w:r w:rsidR="001E1A91" w:rsidRPr="00323D79">
              <w:rPr>
                <w:b w:val="0"/>
                <w:bCs w:val="0"/>
                <w:sz w:val="20"/>
              </w:rPr>
              <w:t xml:space="preserve"> </w:t>
            </w:r>
            <w:r w:rsidR="001E1A91" w:rsidRPr="00323D79">
              <w:rPr>
                <w:rFonts w:eastAsia="Times New Roman" w:cstheme="minorHAnsi"/>
                <w:b w:val="0"/>
                <w:color w:val="000000"/>
                <w:sz w:val="20"/>
                <w:szCs w:val="18"/>
              </w:rPr>
              <w:t>Integrate best research with clinical expertise and patient values for optimum care, and participate in learning and research activities to the extent feasible</w:t>
            </w:r>
          </w:p>
        </w:tc>
      </w:tr>
      <w:tr w:rsidR="00BA6815" w:rsidRPr="00BA6815" w:rsidTr="00323D7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BA6815" w:rsidRPr="00323D79" w:rsidRDefault="00BA6815" w:rsidP="00BA6815">
            <w:pPr>
              <w:spacing w:after="160" w:line="259" w:lineRule="auto"/>
              <w:rPr>
                <w:rFonts w:eastAsia="Times New Roman" w:cstheme="minorHAnsi"/>
                <w:b w:val="0"/>
                <w:color w:val="000000"/>
                <w:sz w:val="20"/>
                <w:szCs w:val="18"/>
              </w:rPr>
            </w:pPr>
            <w:r w:rsidRPr="00323D79">
              <w:rPr>
                <w:rFonts w:eastAsia="Times New Roman" w:cstheme="minorHAnsi"/>
                <w:color w:val="000000"/>
                <w:sz w:val="20"/>
                <w:szCs w:val="18"/>
              </w:rPr>
              <w:t>Apply Quality Improvement</w:t>
            </w:r>
            <w:r w:rsidR="001E1A91" w:rsidRPr="00323D79">
              <w:rPr>
                <w:rFonts w:eastAsia="Times New Roman" w:cstheme="minorHAnsi"/>
                <w:color w:val="000000"/>
                <w:sz w:val="20"/>
                <w:szCs w:val="18"/>
              </w:rPr>
              <w:t>:</w:t>
            </w:r>
            <w:r w:rsidR="001E1A91" w:rsidRPr="00323D79">
              <w:rPr>
                <w:rFonts w:eastAsia="Times New Roman" w:cstheme="minorHAnsi"/>
                <w:b w:val="0"/>
                <w:color w:val="000000"/>
                <w:sz w:val="20"/>
                <w:szCs w:val="18"/>
              </w:rPr>
              <w:t xml:space="preserve"> </w:t>
            </w:r>
            <w:r w:rsidR="001E1A91" w:rsidRPr="00323D79">
              <w:rPr>
                <w:b w:val="0"/>
                <w:bCs w:val="0"/>
                <w:sz w:val="20"/>
              </w:rPr>
              <w:t xml:space="preserve"> </w:t>
            </w:r>
            <w:r w:rsidR="001E1A91" w:rsidRPr="00323D79">
              <w:rPr>
                <w:rFonts w:eastAsia="Times New Roman" w:cstheme="minorHAnsi"/>
                <w:b w:val="0"/>
                <w:color w:val="000000"/>
                <w:sz w:val="20"/>
                <w:szCs w:val="18"/>
              </w:rPr>
              <w:t>Identify errors and hazards in care; understand and implement basic safety design principles, such as standardization and simplification; continually understand and measure quality of care in terms of structure, process, and outcomes in relation to patient and community needs; and design and test interventions to change processes and systems of care, with the objective of improving quality</w:t>
            </w:r>
          </w:p>
        </w:tc>
      </w:tr>
      <w:tr w:rsidR="00BA6815" w:rsidRPr="00BA6815" w:rsidTr="00323D79">
        <w:tc>
          <w:tcPr>
            <w:cnfStyle w:val="001000000000" w:firstRow="0" w:lastRow="0" w:firstColumn="1" w:lastColumn="0" w:oddVBand="0" w:evenVBand="0" w:oddHBand="0" w:evenHBand="0" w:firstRowFirstColumn="0" w:firstRowLastColumn="0" w:lastRowFirstColumn="0" w:lastRowLastColumn="0"/>
            <w:tcW w:w="9350" w:type="dxa"/>
            <w:tcBorders>
              <w:bottom w:val="single" w:sz="4" w:space="0" w:color="999999" w:themeColor="text1" w:themeTint="66"/>
            </w:tcBorders>
            <w:shd w:val="clear" w:color="auto" w:fill="auto"/>
          </w:tcPr>
          <w:p w:rsidR="00BA6815" w:rsidRPr="00323D79" w:rsidRDefault="00BA6815" w:rsidP="00BA6815">
            <w:pPr>
              <w:spacing w:after="160" w:line="259" w:lineRule="auto"/>
              <w:rPr>
                <w:rFonts w:eastAsia="Times New Roman" w:cstheme="minorHAnsi"/>
                <w:color w:val="000000"/>
                <w:sz w:val="20"/>
                <w:szCs w:val="18"/>
              </w:rPr>
            </w:pPr>
            <w:r w:rsidRPr="00323D79">
              <w:rPr>
                <w:rFonts w:eastAsia="Times New Roman" w:cstheme="minorHAnsi"/>
                <w:color w:val="000000"/>
                <w:sz w:val="20"/>
                <w:szCs w:val="18"/>
              </w:rPr>
              <w:t>Utilize Informatics</w:t>
            </w:r>
            <w:r w:rsidR="001E1A91" w:rsidRPr="00323D79">
              <w:rPr>
                <w:rFonts w:eastAsia="Times New Roman" w:cstheme="minorHAnsi"/>
                <w:color w:val="000000"/>
                <w:sz w:val="20"/>
                <w:szCs w:val="18"/>
              </w:rPr>
              <w:t xml:space="preserve">: </w:t>
            </w:r>
            <w:r w:rsidR="001E1A91" w:rsidRPr="00323D79">
              <w:rPr>
                <w:b w:val="0"/>
                <w:bCs w:val="0"/>
                <w:sz w:val="20"/>
              </w:rPr>
              <w:t xml:space="preserve"> </w:t>
            </w:r>
            <w:r w:rsidR="001E1A91" w:rsidRPr="00323D79">
              <w:rPr>
                <w:rFonts w:eastAsia="Times New Roman" w:cstheme="minorHAnsi"/>
                <w:b w:val="0"/>
                <w:color w:val="000000"/>
                <w:sz w:val="20"/>
                <w:szCs w:val="18"/>
              </w:rPr>
              <w:t>Communicate, manage knowledge, mitigate error, and support decision making using information technology.</w:t>
            </w:r>
          </w:p>
        </w:tc>
      </w:tr>
      <w:tr w:rsidR="00323D79" w:rsidRPr="00BA6815" w:rsidTr="00323D79">
        <w:tc>
          <w:tcPr>
            <w:cnfStyle w:val="001000000000" w:firstRow="0" w:lastRow="0" w:firstColumn="1" w:lastColumn="0" w:oddVBand="0" w:evenVBand="0" w:oddHBand="0" w:evenHBand="0" w:firstRowFirstColumn="0" w:firstRowLastColumn="0" w:lastRowFirstColumn="0" w:lastRowLastColumn="0"/>
            <w:tcW w:w="9350" w:type="dxa"/>
            <w:tcBorders>
              <w:left w:val="nil"/>
              <w:right w:val="nil"/>
            </w:tcBorders>
            <w:shd w:val="clear" w:color="auto" w:fill="auto"/>
          </w:tcPr>
          <w:p w:rsidR="00323D79" w:rsidRDefault="00323D79" w:rsidP="00BA6815">
            <w:pPr>
              <w:rPr>
                <w:rFonts w:eastAsia="Times New Roman" w:cstheme="minorHAnsi"/>
                <w:color w:val="000000"/>
                <w:sz w:val="20"/>
                <w:szCs w:val="18"/>
              </w:rPr>
            </w:pPr>
          </w:p>
          <w:p w:rsidR="00323D79" w:rsidRPr="00323D79" w:rsidRDefault="00323D79" w:rsidP="00BA6815">
            <w:pPr>
              <w:rPr>
                <w:rFonts w:eastAsia="Times New Roman" w:cstheme="minorHAnsi"/>
                <w:color w:val="000000"/>
                <w:sz w:val="20"/>
                <w:szCs w:val="18"/>
              </w:rPr>
            </w:pPr>
          </w:p>
        </w:tc>
      </w:tr>
      <w:tr w:rsidR="00BA6815" w:rsidRPr="00BA6815" w:rsidTr="00323D79">
        <w:trPr>
          <w:trHeight w:val="279"/>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rsidR="00825547" w:rsidRPr="00323D79" w:rsidRDefault="004B0CB2" w:rsidP="00BA6815">
            <w:pPr>
              <w:spacing w:after="160" w:line="259" w:lineRule="auto"/>
              <w:rPr>
                <w:rFonts w:cstheme="minorHAnsi"/>
                <w:bCs w:val="0"/>
                <w:i/>
                <w:color w:val="333333"/>
                <w:szCs w:val="20"/>
                <w:shd w:val="clear" w:color="auto" w:fill="FFFFFF"/>
              </w:rPr>
            </w:pPr>
            <w:r w:rsidRPr="00323D79">
              <w:rPr>
                <w:rFonts w:cstheme="minorHAnsi"/>
                <w:bCs w:val="0"/>
                <w:i/>
                <w:color w:val="333333"/>
                <w:sz w:val="24"/>
                <w:szCs w:val="20"/>
                <w:highlight w:val="lightGray"/>
                <w:shd w:val="clear" w:color="auto" w:fill="FFFFFF"/>
              </w:rPr>
              <w:t>Interprofessional Education Collaborative</w:t>
            </w:r>
          </w:p>
        </w:tc>
      </w:tr>
      <w:tr w:rsidR="00BA6815" w:rsidRPr="00BA6815" w:rsidTr="00323D7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BA6815" w:rsidRPr="00323D79" w:rsidRDefault="00BA6815" w:rsidP="00BA6815">
            <w:pPr>
              <w:spacing w:after="160" w:line="259" w:lineRule="auto"/>
              <w:rPr>
                <w:rFonts w:eastAsia="Times New Roman" w:cstheme="minorHAnsi"/>
                <w:color w:val="000000"/>
                <w:sz w:val="20"/>
                <w:szCs w:val="18"/>
              </w:rPr>
            </w:pPr>
            <w:r w:rsidRPr="00323D79">
              <w:rPr>
                <w:rFonts w:eastAsia="Times New Roman" w:cstheme="minorHAnsi"/>
                <w:color w:val="000000"/>
                <w:sz w:val="20"/>
                <w:szCs w:val="18"/>
                <w:u w:val="single"/>
              </w:rPr>
              <w:t>Values/Ethics:</w:t>
            </w:r>
            <w:r w:rsidRPr="00323D79">
              <w:rPr>
                <w:rFonts w:eastAsia="Times New Roman" w:cstheme="minorHAnsi"/>
                <w:color w:val="000000"/>
                <w:sz w:val="20"/>
                <w:szCs w:val="18"/>
              </w:rPr>
              <w:t xml:space="preserve"> </w:t>
            </w:r>
            <w:r w:rsidRPr="00323D79">
              <w:rPr>
                <w:rFonts w:eastAsia="Times New Roman" w:cstheme="minorHAnsi"/>
                <w:b w:val="0"/>
                <w:color w:val="000000"/>
                <w:sz w:val="20"/>
                <w:szCs w:val="18"/>
              </w:rPr>
              <w:t>Work with individuals of other professions to maintain a climate of mutual respect and shared values</w:t>
            </w:r>
          </w:p>
        </w:tc>
      </w:tr>
      <w:tr w:rsidR="00BA6815" w:rsidRPr="00BA6815" w:rsidTr="00323D7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BA6815" w:rsidRPr="00323D79" w:rsidRDefault="00BA6815" w:rsidP="00BA6815">
            <w:pPr>
              <w:spacing w:after="160" w:line="259" w:lineRule="auto"/>
              <w:rPr>
                <w:rFonts w:eastAsia="Times New Roman" w:cstheme="minorHAnsi"/>
                <w:color w:val="000000"/>
                <w:sz w:val="20"/>
                <w:szCs w:val="18"/>
              </w:rPr>
            </w:pPr>
            <w:r w:rsidRPr="00323D79">
              <w:rPr>
                <w:rFonts w:eastAsia="Times New Roman" w:cstheme="minorHAnsi"/>
                <w:color w:val="000000"/>
                <w:sz w:val="20"/>
                <w:szCs w:val="18"/>
                <w:u w:val="single"/>
              </w:rPr>
              <w:t>Roles/Responsibilities:</w:t>
            </w:r>
            <w:r w:rsidRPr="00323D79">
              <w:rPr>
                <w:rFonts w:eastAsia="Times New Roman" w:cstheme="minorHAnsi"/>
                <w:color w:val="000000"/>
                <w:sz w:val="20"/>
                <w:szCs w:val="18"/>
              </w:rPr>
              <w:t xml:space="preserve"> </w:t>
            </w:r>
            <w:r w:rsidRPr="00323D79">
              <w:rPr>
                <w:rFonts w:eastAsia="Times New Roman" w:cstheme="minorHAnsi"/>
                <w:b w:val="0"/>
                <w:color w:val="000000"/>
                <w:sz w:val="20"/>
                <w:szCs w:val="18"/>
              </w:rPr>
              <w:t>Use the knowledge of one’s own role and those of other professions to appropriately assess and address the health care needs of patients and to promote and advance the health of populations.</w:t>
            </w:r>
          </w:p>
        </w:tc>
      </w:tr>
      <w:tr w:rsidR="00BA6815" w:rsidRPr="00BA6815" w:rsidTr="00323D7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BA6815" w:rsidRPr="00323D79" w:rsidRDefault="00BA6815" w:rsidP="00BA6815">
            <w:pPr>
              <w:spacing w:after="160" w:line="259" w:lineRule="auto"/>
              <w:rPr>
                <w:rFonts w:eastAsia="Times New Roman" w:cstheme="minorHAnsi"/>
                <w:color w:val="000000"/>
                <w:sz w:val="20"/>
                <w:szCs w:val="18"/>
              </w:rPr>
            </w:pPr>
            <w:r w:rsidRPr="00323D79">
              <w:rPr>
                <w:rFonts w:eastAsia="Times New Roman" w:cstheme="minorHAnsi"/>
                <w:color w:val="000000"/>
                <w:sz w:val="20"/>
                <w:szCs w:val="18"/>
                <w:u w:val="single"/>
              </w:rPr>
              <w:lastRenderedPageBreak/>
              <w:t>Interprofessional communication:</w:t>
            </w:r>
            <w:r w:rsidRPr="00323D79">
              <w:rPr>
                <w:rFonts w:eastAsia="Times New Roman" w:cstheme="minorHAnsi"/>
                <w:color w:val="000000"/>
                <w:sz w:val="20"/>
                <w:szCs w:val="18"/>
              </w:rPr>
              <w:t xml:space="preserve"> </w:t>
            </w:r>
            <w:r w:rsidRPr="00323D79">
              <w:rPr>
                <w:rFonts w:eastAsia="Times New Roman" w:cstheme="minorHAnsi"/>
                <w:b w:val="0"/>
                <w:color w:val="000000"/>
                <w:sz w:val="20"/>
                <w:szCs w:val="18"/>
              </w:rPr>
              <w:t>Communicate with patients, families, communities, and professionals in health and other fields in a responsive and responsible manner that supports a team approach to the promotion and maintenance of health and the prevention and treatment of disease.</w:t>
            </w:r>
          </w:p>
        </w:tc>
      </w:tr>
      <w:tr w:rsidR="00BA6815" w:rsidRPr="00BA6815" w:rsidTr="00323D7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BA6815" w:rsidRPr="00323D79" w:rsidRDefault="00BA6815" w:rsidP="00BA6815">
            <w:pPr>
              <w:spacing w:after="160" w:line="259" w:lineRule="auto"/>
              <w:rPr>
                <w:rFonts w:eastAsia="Times New Roman" w:cstheme="minorHAnsi"/>
                <w:color w:val="000000"/>
                <w:sz w:val="20"/>
                <w:szCs w:val="18"/>
              </w:rPr>
            </w:pPr>
            <w:r w:rsidRPr="00323D79">
              <w:rPr>
                <w:rFonts w:eastAsia="Times New Roman" w:cstheme="minorHAnsi"/>
                <w:color w:val="000000"/>
                <w:sz w:val="20"/>
                <w:szCs w:val="18"/>
                <w:u w:val="single"/>
              </w:rPr>
              <w:t>Teams and Teamwork:</w:t>
            </w:r>
            <w:r w:rsidRPr="00323D79">
              <w:rPr>
                <w:rFonts w:eastAsia="Times New Roman" w:cstheme="minorHAnsi"/>
                <w:color w:val="000000"/>
                <w:sz w:val="20"/>
                <w:szCs w:val="18"/>
              </w:rPr>
              <w:t xml:space="preserve"> </w:t>
            </w:r>
            <w:r w:rsidRPr="00323D79">
              <w:rPr>
                <w:rFonts w:eastAsia="Times New Roman" w:cstheme="minorHAnsi"/>
                <w:b w:val="0"/>
                <w:color w:val="000000"/>
                <w:sz w:val="20"/>
                <w:szCs w:val="18"/>
              </w:rPr>
              <w:t>Apply relationship-building values and the principles of team dynamics to perform effectively in different team roles to plan, deliver, and evaluate patient/population centered care and population health programs and policies that are safe, timely, efficient, effective, and equitable.</w:t>
            </w:r>
          </w:p>
        </w:tc>
      </w:tr>
    </w:tbl>
    <w:p w:rsidR="0042628C" w:rsidRDefault="0042628C"/>
    <w:p w:rsidR="00DE55FD" w:rsidRDefault="00DE55FD">
      <w:pPr>
        <w:rPr>
          <w:sz w:val="18"/>
        </w:rPr>
      </w:pPr>
    </w:p>
    <w:p w:rsidR="00DE55FD" w:rsidRDefault="00DE55FD">
      <w:pPr>
        <w:rPr>
          <w:sz w:val="18"/>
        </w:rPr>
      </w:pPr>
    </w:p>
    <w:p w:rsidR="00DE55FD" w:rsidRDefault="00DE55FD">
      <w:pPr>
        <w:rPr>
          <w:sz w:val="18"/>
        </w:rPr>
      </w:pPr>
    </w:p>
    <w:p w:rsidR="00DE55FD" w:rsidRDefault="00DE55FD">
      <w:pPr>
        <w:rPr>
          <w:sz w:val="18"/>
        </w:rPr>
      </w:pPr>
    </w:p>
    <w:p w:rsidR="00DE55FD" w:rsidRDefault="00DE55FD">
      <w:pPr>
        <w:rPr>
          <w:sz w:val="18"/>
        </w:rPr>
      </w:pPr>
    </w:p>
    <w:p w:rsidR="00DE55FD" w:rsidRDefault="00DE55FD">
      <w:pPr>
        <w:rPr>
          <w:sz w:val="18"/>
        </w:rPr>
      </w:pPr>
    </w:p>
    <w:p w:rsidR="00DE55FD" w:rsidRDefault="00DE55FD">
      <w:pPr>
        <w:rPr>
          <w:sz w:val="18"/>
        </w:rPr>
      </w:pPr>
    </w:p>
    <w:p w:rsidR="00DE55FD" w:rsidRDefault="00DE55FD">
      <w:pPr>
        <w:rPr>
          <w:sz w:val="18"/>
        </w:rPr>
      </w:pPr>
    </w:p>
    <w:p w:rsidR="00DE55FD" w:rsidRDefault="00DE55FD">
      <w:pPr>
        <w:rPr>
          <w:sz w:val="18"/>
        </w:rPr>
      </w:pPr>
    </w:p>
    <w:p w:rsidR="00DE55FD" w:rsidRDefault="00DE55FD">
      <w:pPr>
        <w:rPr>
          <w:sz w:val="18"/>
        </w:rPr>
      </w:pPr>
    </w:p>
    <w:p w:rsidR="00DE55FD" w:rsidRDefault="00DE55FD">
      <w:pPr>
        <w:rPr>
          <w:sz w:val="18"/>
        </w:rPr>
      </w:pPr>
    </w:p>
    <w:p w:rsidR="00DE55FD" w:rsidRDefault="00DE55FD">
      <w:pPr>
        <w:rPr>
          <w:sz w:val="18"/>
        </w:rPr>
      </w:pPr>
    </w:p>
    <w:p w:rsidR="00DE55FD" w:rsidRDefault="00DE55FD">
      <w:pPr>
        <w:rPr>
          <w:sz w:val="18"/>
        </w:rPr>
      </w:pPr>
    </w:p>
    <w:p w:rsidR="00DE55FD" w:rsidRDefault="00DE55FD">
      <w:pPr>
        <w:rPr>
          <w:sz w:val="18"/>
        </w:rPr>
      </w:pPr>
    </w:p>
    <w:p w:rsidR="00DE55FD" w:rsidRDefault="00DE55FD">
      <w:pPr>
        <w:rPr>
          <w:sz w:val="18"/>
        </w:rPr>
      </w:pPr>
    </w:p>
    <w:p w:rsidR="00DE55FD" w:rsidRDefault="00DE55FD">
      <w:pPr>
        <w:rPr>
          <w:sz w:val="18"/>
        </w:rPr>
      </w:pPr>
    </w:p>
    <w:p w:rsidR="00DE55FD" w:rsidRDefault="00DE55FD">
      <w:pPr>
        <w:rPr>
          <w:sz w:val="18"/>
        </w:rPr>
      </w:pPr>
    </w:p>
    <w:p w:rsidR="00DE55FD" w:rsidRDefault="00DE55FD">
      <w:pPr>
        <w:rPr>
          <w:sz w:val="18"/>
        </w:rPr>
      </w:pPr>
    </w:p>
    <w:p w:rsidR="00DE55FD" w:rsidRDefault="00DE55FD">
      <w:pPr>
        <w:rPr>
          <w:sz w:val="18"/>
        </w:rPr>
      </w:pPr>
    </w:p>
    <w:p w:rsidR="00DE55FD" w:rsidRDefault="00DE55FD">
      <w:pPr>
        <w:rPr>
          <w:sz w:val="18"/>
        </w:rPr>
      </w:pPr>
    </w:p>
    <w:p w:rsidR="00DE55FD" w:rsidRDefault="00DE55FD">
      <w:pPr>
        <w:rPr>
          <w:sz w:val="18"/>
        </w:rPr>
      </w:pPr>
    </w:p>
    <w:p w:rsidR="001E1A91" w:rsidRPr="00323D79" w:rsidRDefault="00446A2A">
      <w:pPr>
        <w:rPr>
          <w:sz w:val="18"/>
        </w:rPr>
      </w:pPr>
      <w:r w:rsidRPr="00323D79">
        <w:rPr>
          <w:sz w:val="18"/>
        </w:rPr>
        <w:t>References:</w:t>
      </w:r>
    </w:p>
    <w:p w:rsidR="00BD4215" w:rsidRPr="00323D79" w:rsidRDefault="0042628C" w:rsidP="0042628C">
      <w:pPr>
        <w:pStyle w:val="ListParagraph"/>
        <w:numPr>
          <w:ilvl w:val="0"/>
          <w:numId w:val="8"/>
        </w:numPr>
        <w:rPr>
          <w:rStyle w:val="Hyperlink"/>
          <w:color w:val="auto"/>
          <w:sz w:val="18"/>
          <w:u w:val="none"/>
        </w:rPr>
      </w:pPr>
      <w:r w:rsidRPr="00323D79">
        <w:rPr>
          <w:sz w:val="18"/>
        </w:rPr>
        <w:t>Accreditation Council for Graduate Medical Education (</w:t>
      </w:r>
      <w:hyperlink r:id="rId5" w:history="1">
        <w:r w:rsidR="001A1BD9" w:rsidRPr="00323D79">
          <w:rPr>
            <w:rStyle w:val="Hyperlink"/>
            <w:sz w:val="18"/>
          </w:rPr>
          <w:t>https://www.acgme.org/</w:t>
        </w:r>
      </w:hyperlink>
      <w:r w:rsidRPr="00323D79">
        <w:rPr>
          <w:rStyle w:val="Hyperlink"/>
          <w:sz w:val="18"/>
        </w:rPr>
        <w:t>)</w:t>
      </w:r>
    </w:p>
    <w:p w:rsidR="00BD4215" w:rsidRPr="00323D79" w:rsidRDefault="0042628C" w:rsidP="0042628C">
      <w:pPr>
        <w:pStyle w:val="ListParagraph"/>
        <w:numPr>
          <w:ilvl w:val="0"/>
          <w:numId w:val="8"/>
        </w:numPr>
        <w:rPr>
          <w:rStyle w:val="Hyperlink"/>
          <w:color w:val="auto"/>
          <w:sz w:val="18"/>
          <w:u w:val="none"/>
        </w:rPr>
      </w:pPr>
      <w:r w:rsidRPr="00323D79">
        <w:rPr>
          <w:sz w:val="18"/>
        </w:rPr>
        <w:t>ACGME Milestone Guidebook (</w:t>
      </w:r>
      <w:hyperlink r:id="rId6" w:history="1">
        <w:r w:rsidR="00BD4215" w:rsidRPr="00323D79">
          <w:rPr>
            <w:rStyle w:val="Hyperlink"/>
            <w:sz w:val="18"/>
          </w:rPr>
          <w:t>https://www.acgme.org/globalassets/milestonesguidebook.pdf</w:t>
        </w:r>
      </w:hyperlink>
      <w:r w:rsidRPr="00323D79">
        <w:rPr>
          <w:rStyle w:val="Hyperlink"/>
          <w:sz w:val="18"/>
        </w:rPr>
        <w:t>)</w:t>
      </w:r>
    </w:p>
    <w:p w:rsidR="0042628C" w:rsidRPr="00323D79" w:rsidRDefault="0042628C" w:rsidP="0042628C">
      <w:pPr>
        <w:pStyle w:val="ListParagraph"/>
        <w:numPr>
          <w:ilvl w:val="0"/>
          <w:numId w:val="8"/>
        </w:numPr>
        <w:rPr>
          <w:rStyle w:val="Hyperlink"/>
          <w:color w:val="auto"/>
          <w:sz w:val="18"/>
          <w:u w:val="none"/>
        </w:rPr>
      </w:pPr>
      <w:r w:rsidRPr="00323D79">
        <w:rPr>
          <w:sz w:val="18"/>
        </w:rPr>
        <w:t>American Board of Medical Specialties: (</w:t>
      </w:r>
      <w:hyperlink r:id="rId7" w:history="1">
        <w:r w:rsidRPr="00323D79">
          <w:rPr>
            <w:rStyle w:val="Hyperlink"/>
            <w:sz w:val="18"/>
          </w:rPr>
          <w:t>https://www.abms.org/wp-content/uploads/2020/11/abms-standards-for-initial-certification-20160511.pdf</w:t>
        </w:r>
      </w:hyperlink>
      <w:r w:rsidRPr="00323D79">
        <w:rPr>
          <w:rStyle w:val="Hyperlink"/>
          <w:sz w:val="18"/>
        </w:rPr>
        <w:t>)</w:t>
      </w:r>
    </w:p>
    <w:p w:rsidR="001E1A91" w:rsidRDefault="0042628C" w:rsidP="00F36DDE">
      <w:pPr>
        <w:pStyle w:val="ListParagraph"/>
        <w:numPr>
          <w:ilvl w:val="0"/>
          <w:numId w:val="8"/>
        </w:numPr>
      </w:pPr>
      <w:r w:rsidRPr="00DE55FD">
        <w:rPr>
          <w:sz w:val="18"/>
        </w:rPr>
        <w:t>University of Maryland Medical Center (</w:t>
      </w:r>
      <w:hyperlink r:id="rId8" w:history="1">
        <w:r w:rsidR="00DE55FD" w:rsidRPr="00DE55FD">
          <w:rPr>
            <w:rStyle w:val="Hyperlink"/>
            <w:sz w:val="18"/>
          </w:rPr>
          <w:t>https://www.umms.org/ummc/pros/gme/acgme-competencies/interpersonal-skills-communication</w:t>
        </w:r>
      </w:hyperlink>
      <w:r w:rsidRPr="00DE55FD">
        <w:rPr>
          <w:rStyle w:val="Hyperlink"/>
          <w:sz w:val="18"/>
        </w:rPr>
        <w:t>)</w:t>
      </w:r>
      <w:r w:rsidR="00446A2A">
        <w:t xml:space="preserve"> </w:t>
      </w:r>
    </w:p>
    <w:sectPr w:rsidR="001E1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B14"/>
    <w:multiLevelType w:val="hybridMultilevel"/>
    <w:tmpl w:val="267A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96908"/>
    <w:multiLevelType w:val="hybridMultilevel"/>
    <w:tmpl w:val="27A0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E66DD"/>
    <w:multiLevelType w:val="hybridMultilevel"/>
    <w:tmpl w:val="190A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B410F"/>
    <w:multiLevelType w:val="hybridMultilevel"/>
    <w:tmpl w:val="24E6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21C4F"/>
    <w:multiLevelType w:val="hybridMultilevel"/>
    <w:tmpl w:val="7D7A5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E21D8"/>
    <w:multiLevelType w:val="multilevel"/>
    <w:tmpl w:val="32ECEB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A2D04"/>
    <w:multiLevelType w:val="hybridMultilevel"/>
    <w:tmpl w:val="6D02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F0270"/>
    <w:multiLevelType w:val="hybridMultilevel"/>
    <w:tmpl w:val="734C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15"/>
    <w:rsid w:val="001A1BD9"/>
    <w:rsid w:val="001E1A91"/>
    <w:rsid w:val="00316B29"/>
    <w:rsid w:val="00323D79"/>
    <w:rsid w:val="0042628C"/>
    <w:rsid w:val="00446A2A"/>
    <w:rsid w:val="004B0CB2"/>
    <w:rsid w:val="00583931"/>
    <w:rsid w:val="00825547"/>
    <w:rsid w:val="0088425F"/>
    <w:rsid w:val="009260B6"/>
    <w:rsid w:val="00A94C43"/>
    <w:rsid w:val="00BA6815"/>
    <w:rsid w:val="00BD4215"/>
    <w:rsid w:val="00D673F2"/>
    <w:rsid w:val="00DE55FD"/>
    <w:rsid w:val="00FA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1772"/>
  <w15:chartTrackingRefBased/>
  <w15:docId w15:val="{79D60E51-C44A-4FE2-A750-220320BD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BA68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E1A91"/>
    <w:rPr>
      <w:color w:val="0563C1" w:themeColor="hyperlink"/>
      <w:u w:val="single"/>
    </w:rPr>
  </w:style>
  <w:style w:type="character" w:customStyle="1" w:styleId="f-label">
    <w:name w:val="f-label"/>
    <w:basedOn w:val="DefaultParagraphFont"/>
    <w:rsid w:val="004B0CB2"/>
  </w:style>
  <w:style w:type="character" w:styleId="FollowedHyperlink">
    <w:name w:val="FollowedHyperlink"/>
    <w:basedOn w:val="DefaultParagraphFont"/>
    <w:uiPriority w:val="99"/>
    <w:semiHidden/>
    <w:unhideWhenUsed/>
    <w:rsid w:val="00BD4215"/>
    <w:rPr>
      <w:color w:val="954F72" w:themeColor="followedHyperlink"/>
      <w:u w:val="single"/>
    </w:rPr>
  </w:style>
  <w:style w:type="paragraph" w:styleId="ListParagraph">
    <w:name w:val="List Paragraph"/>
    <w:basedOn w:val="Normal"/>
    <w:uiPriority w:val="34"/>
    <w:qFormat/>
    <w:rsid w:val="00884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ms.org/ummc/pros/gme/acgme-competencies/interpersonal-skills-communication" TargetMode="External"/><Relationship Id="rId3" Type="http://schemas.openxmlformats.org/officeDocument/2006/relationships/settings" Target="settings.xml"/><Relationship Id="rId7" Type="http://schemas.openxmlformats.org/officeDocument/2006/relationships/hyperlink" Target="https://www.abms.org/wp-content/uploads/2020/11/abms-standards-for-initial-certification-201605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gme.org/globalassets/milestonesguidebook.pdf" TargetMode="External"/><Relationship Id="rId5" Type="http://schemas.openxmlformats.org/officeDocument/2006/relationships/hyperlink" Target="https://www.acgm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Boyd</dc:creator>
  <cp:keywords/>
  <dc:description/>
  <cp:lastModifiedBy>Kelly Boyd</cp:lastModifiedBy>
  <cp:revision>5</cp:revision>
  <dcterms:created xsi:type="dcterms:W3CDTF">2022-12-23T20:24:00Z</dcterms:created>
  <dcterms:modified xsi:type="dcterms:W3CDTF">2023-01-06T04:44:00Z</dcterms:modified>
</cp:coreProperties>
</file>